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9E8F"/>
          <w:sz w:val="28"/>
          <w:szCs w:val="28"/>
        </w:rPr>
        <w:t xml:space="preserve">ASINA DISABILITY SERVICES</w:t>
      </w:r>
    </w:p>
    <w:p>
      <w:pPr>
        <w:pBdr>
          <w:bottom w:val="single" w:color="1A9E8F" w:sz="6" w:space="1"/>
        </w:pBd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D3748"/>
          <w:sz w:val="44"/>
          <w:szCs w:val="44"/>
        </w:rPr>
        <w:t xml:space="preserve">MEDICATION MANAGEMENT</w:t>
      </w:r>
    </w:p>
    <w:p>
      <w:pPr>
        <w:spacing w:after="6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Policy and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POL-ENV-004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Director, Asina Disability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CONFIDENTIAL</w:t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the property of Asina Disability Services. Unauthorised reproduction or distribution is prohibited.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sz w:val="22"/>
          <w:szCs w:val="22"/>
        </w:rPr>
        <w:t xml:space="preserve">This policy ensures the safe management of medications for NDIS participants receiving supports from Asina Disability Services. Medication management is a high-risk activity that requires robust procedures to prevent medication errors and protect participant health.</w:t>
      </w:r>
    </w:p>
    <w:p>
      <w:pPr>
        <w:pStyle w:val="Heading1"/>
      </w:pPr>
      <w:r>
        <w:t xml:space="preserve">2. Scope</w:t>
      </w:r>
    </w:p>
    <w:p>
      <w:pPr>
        <w:spacing w:after="120"/>
      </w:pPr>
      <w:r>
        <w:rPr>
          <w:sz w:val="22"/>
          <w:szCs w:val="22"/>
        </w:rPr>
        <w:t xml:space="preserve">This policy applies to all workers who are involved in assisting, prompting, or administering medications to participants. It covers prescription medications, over-the-counter medications, vitamins and supplements, and PRN (as-needed) medications.</w:t>
      </w:r>
    </w:p>
    <w:p>
      <w:pPr>
        <w:pStyle w:val="Heading1"/>
      </w:pPr>
      <w:r>
        <w:t xml:space="preserve">3. Legislative and Standards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Practice Standards - Core Module: Provision of Supports (Safe Environment)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Poisons and Therapeutic Goods Act 1966 (NSW)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Health Practitioner Regulation National Law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Code of Conduct</w:t>
      </w:r>
    </w:p>
    <w:p>
      <w:pPr>
        <w:pStyle w:val="Heading1"/>
      </w:pPr>
      <w:r>
        <w:t xml:space="preserve">4. Policy Statement</w:t>
      </w:r>
    </w:p>
    <w:p>
      <w:pPr>
        <w:pStyle w:val="Heading2"/>
      </w:pPr>
      <w:r>
        <w:t xml:space="preserve">4.1 Levels of Medication Support</w:t>
      </w:r>
    </w:p>
    <w:p>
      <w:pPr>
        <w:spacing w:after="120"/>
      </w:pPr>
      <w:r>
        <w:rPr>
          <w:sz w:val="22"/>
          <w:szCs w:val="22"/>
        </w:rPr>
        <w:t xml:space="preserve">Workers provide medication support at the level specified in the participant's support plan: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Prompting: Reminding or prompting the participant to take their medication (the participant self-administers)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Assisting: Assisting the participant to take their medication (e.g., opening packaging, pouring liquids, placing medication in the participant's hand)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Administering: Directly administering medication to the participant (e.g., applying topical medications, administering via PEG tube) - only by workers with appropriate training and competency assessment</w:t>
      </w:r>
    </w:p>
    <w:p>
      <w:pPr>
        <w:pStyle w:val="Heading2"/>
      </w:pPr>
      <w:r>
        <w:t xml:space="preserve">4.2 Six Rights of Medication</w:t>
      </w:r>
    </w:p>
    <w:p>
      <w:pPr>
        <w:spacing w:after="120"/>
      </w:pPr>
      <w:r>
        <w:rPr>
          <w:sz w:val="22"/>
          <w:szCs w:val="22"/>
        </w:rPr>
        <w:t xml:space="preserve">Workers follow the six rights of medication for every medication interaction: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Right person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Right medication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Right dose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Right route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Right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Right documentation</w:t>
      </w:r>
    </w:p>
    <w:p>
      <w:pPr>
        <w:pStyle w:val="Heading2"/>
      </w:pPr>
      <w:r>
        <w:t xml:space="preserve">4.3 Medication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Medications are stored securely as directed by the pharmacist (e.g., in a locked cupboard, refrigerated)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Medications are stored in their original packaging with the pharmacy label intact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Schedule 8 (controlled) medications are stored in a locked container within a locked cupboard and usage is documented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Expired or discontinued medications are returned to the pharmacy for disposal</w:t>
      </w:r>
    </w:p>
    <w:p>
      <w:pPr>
        <w:pStyle w:val="Heading2"/>
      </w:pPr>
      <w:r>
        <w:t xml:space="preserve">4.4 Medication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current Medication Chart is maintained for each participant, listing all medications, doses, routes, times, and prescriber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medication interaction (prompt, assist, or administration) is recorded on the Medication Administration Record (MAR)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MAR includes the date, time, medication, dose, route, worker name, and signature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 refusal, missed dose, or medication error is documented and reported</w:t>
      </w:r>
    </w:p>
    <w:p>
      <w:pPr>
        <w:pStyle w:val="Heading2"/>
      </w:pPr>
      <w:r>
        <w:t xml:space="preserve">4.5 Medication Errors</w:t>
      </w:r>
    </w:p>
    <w:p>
      <w:pPr>
        <w:spacing w:after="120"/>
      </w:pPr>
      <w:r>
        <w:rPr>
          <w:sz w:val="22"/>
          <w:szCs w:val="22"/>
        </w:rPr>
        <w:t xml:space="preserve">A medication error includes giving the wrong medication, wrong dose, wrong route, wrong time, to the wrong person, or omitting a dose. In the event of a medication error: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Assess the participant for any immediate adverse effects.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Contact the Poisons Information Centre (13 11 26) or call 000 if the participant is unwell.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Notify the Director immediately.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Complete an Incident Report.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Notify the participant's GP and/or pharmacist.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Review and implement corrective actions to prevent recurrence.</w:t>
      </w:r>
    </w:p>
    <w:p>
      <w:pPr>
        <w:pStyle w:val="Heading1"/>
      </w:pPr>
      <w:r>
        <w:t xml:space="preserve">5. Procedures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Medication information is obtained from the participant, their family, and their GP during intake.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 Medication Chart is established and verified against the pharmacy-dispensed medication profile.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Workers are trained in medication management before providing medication support.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Competency assessments are completed annually for workers providing medication support.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Medication Charts are reviewed whenever there is a change to the participant's medications and at least every 12 months.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Regular medication audits are conducted to ensure compliance with this policy.</w:t>
      </w:r>
    </w:p>
    <w:p>
      <w:pPr>
        <w:pStyle w:val="Heading1"/>
      </w:pPr>
      <w:r>
        <w:t xml:space="preserve">6. Responsibilities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Director: </w:t>
      </w:r>
      <w:r>
        <w:rPr>
          <w:sz w:val="22"/>
          <w:szCs w:val="22"/>
        </w:rPr>
        <w:t xml:space="preserve">Ensure medication management systems are in place, provide training, conduct audits, and investigate medication errors.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Workers: </w:t>
      </w:r>
      <w:r>
        <w:rPr>
          <w:sz w:val="22"/>
          <w:szCs w:val="22"/>
        </w:rPr>
        <w:t xml:space="preserve">Follow the six rights, complete training and competency assessments, document all medication interactions, and report errors and concerns immediately.</w:t>
      </w:r>
    </w:p>
    <w:p>
      <w:pPr>
        <w:pStyle w:val="Heading1"/>
      </w:pPr>
      <w:r>
        <w:t xml:space="preserve">7. 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POL-INC-001 Incident Management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POL-SD-003 Individual Support Planning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Medication Chart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Medication Administration Record (MAR)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Medication Competency Assessment</w:t>
      </w:r>
    </w:p>
    <w:p>
      <w:pPr>
        <w:pStyle w:val="Heading1"/>
      </w:pPr>
      <w:r>
        <w:t xml:space="preserve">8. Review</w:t>
      </w:r>
    </w:p>
    <w:p>
      <w:pPr>
        <w:spacing w:after="120"/>
      </w:pPr>
      <w:r>
        <w:rPr>
          <w:sz w:val="22"/>
          <w:szCs w:val="22"/>
        </w:rPr>
        <w:t xml:space="preserve">This policy will be reviewed annually or sooner following medication incidents, legislative changes, or audit findings. The next scheduled review date is March 2027.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POL-ENV-004  |  Version 1.0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  <w:spacing w:after="200"/>
    </w:pPr>
    <w:r>
      <w:rPr>
        <w:rFonts w:ascii="Arial" w:cs="Arial" w:eastAsia="Arial" w:hAnsi="Arial"/>
        <w:b/>
        <w:bCs/>
        <w:color w:val="1A9E8F"/>
        <w:sz w:val="16"/>
        <w:szCs w:val="16"/>
      </w:rPr>
      <w:t xml:space="preserve">Asina Disability Services</w:t>
    </w:r>
    <w:r>
      <w:rPr>
        <w:rFonts w:ascii="Arial" w:cs="Arial" w:eastAsia="Arial" w:hAnsi="Arial"/>
        <w:color w:val="6B7280"/>
        <w:sz w:val="16"/>
        <w:szCs w:val="16"/>
      </w:rPr>
      <w:t xml:space="preserve">  |  </w:t>
    </w:r>
    <w:r>
      <w:rPr>
        <w:rFonts w:ascii="Arial" w:cs="Arial" w:eastAsia="Arial" w:hAnsi="Arial"/>
        <w:color w:val="6B7280"/>
        <w:sz w:val="16"/>
        <w:szCs w:val="16"/>
      </w:rPr>
      <w:t xml:space="preserve">Medication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9E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9E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2026-03-11T07:02:45.364Z</dcterms:created>
  <dcterms:modified xsi:type="dcterms:W3CDTF">2026-03-11T07:02:45.364Z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