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GOVERNANCE FRAMEWORK</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POL-GOV-001</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governance framework for Asina Disability Services to ensure effective, transparent, and accountable management of the organisation in accordance with the National Disability Insurance Scheme (NDIS) Practice Standards, the NDIS Act 2013, and all applicable Australian legislation.</w:t>
      </w:r>
    </w:p>
    <w:p>
      <w:pPr>
        <w:spacing w:after="120"/>
      </w:pPr>
      <w:r>
        <w:rPr>
          <w:sz w:val="22"/>
          <w:szCs w:val="22"/>
        </w:rPr>
        <w:t xml:space="preserve">Asina Disability Services is committed to operating with integrity, ensuring the safety and quality of supports delivered to NDIS participants, and upholding the rights of people with disability.</w:t>
      </w:r>
    </w:p>
    <w:p>
      <w:pPr>
        <w:pStyle w:val="Heading1"/>
      </w:pPr>
      <w:r>
        <w:t xml:space="preserve">2. Scope</w:t>
      </w:r>
    </w:p>
    <w:p>
      <w:pPr>
        <w:spacing w:after="120"/>
      </w:pPr>
      <w:r>
        <w:rPr>
          <w:sz w:val="22"/>
          <w:szCs w:val="22"/>
        </w:rPr>
        <w:t xml:space="preserve">This policy applies to all key personnel, management, workers (including employees, contractors, subcontractors, and volunteers) of Asina Disability Services. It covers all operations, service delivery, and organisational decision-making.</w:t>
      </w:r>
    </w:p>
    <w:p>
      <w:pPr>
        <w:pStyle w:val="Heading1"/>
      </w:pPr>
      <w:r>
        <w:t xml:space="preserve">3. Legislative and Standards Framework</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NDIS (Provider Registration and Practice Standards) Rules 2018</w:t>
      </w:r>
    </w:p>
    <w:p>
      <w:pPr>
        <w:pStyle w:val="ListParagraph"/>
        <w:numPr>
          <w:ilvl w:val="0"/>
          <w:numId w:val="2"/>
        </w:numPr>
        <w:spacing w:after="80"/>
      </w:pPr>
      <w:r>
        <w:rPr>
          <w:sz w:val="22"/>
          <w:szCs w:val="22"/>
        </w:rPr>
        <w:t xml:space="preserve">NDIS Practice Standards and Quality Indicators (Version 4, November 2021)</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NDIS (Incident Management and Reportable Incidents) Rules 2018</w:t>
      </w:r>
    </w:p>
    <w:p>
      <w:pPr>
        <w:pStyle w:val="ListParagraph"/>
        <w:numPr>
          <w:ilvl w:val="0"/>
          <w:numId w:val="2"/>
        </w:numPr>
        <w:spacing w:after="80"/>
      </w:pPr>
      <w:r>
        <w:rPr>
          <w:sz w:val="22"/>
          <w:szCs w:val="22"/>
        </w:rPr>
        <w:t xml:space="preserve">Corporations Act 2001 (Cth)</w:t>
      </w:r>
    </w:p>
    <w:p>
      <w:pPr>
        <w:pStyle w:val="ListParagraph"/>
        <w:numPr>
          <w:ilvl w:val="0"/>
          <w:numId w:val="2"/>
        </w:numPr>
        <w:spacing w:after="80"/>
      </w:pPr>
      <w:r>
        <w:rPr>
          <w:sz w:val="22"/>
          <w:szCs w:val="22"/>
        </w:rPr>
        <w:t xml:space="preserve">Work Health and Safety Act 2011 (NSW)</w:t>
      </w:r>
    </w:p>
    <w:p>
      <w:pPr>
        <w:pStyle w:val="ListParagraph"/>
        <w:numPr>
          <w:ilvl w:val="0"/>
          <w:numId w:val="2"/>
        </w:numPr>
        <w:spacing w:after="80"/>
      </w:pPr>
      <w:r>
        <w:rPr>
          <w:sz w:val="22"/>
          <w:szCs w:val="22"/>
        </w:rPr>
        <w:t xml:space="preserve">Privacy Act 1988 (Cth) and Australian Privacy Principles</w:t>
      </w:r>
    </w:p>
    <w:p>
      <w:pPr>
        <w:pStyle w:val="ListParagraph"/>
        <w:numPr>
          <w:ilvl w:val="0"/>
          <w:numId w:val="2"/>
        </w:numPr>
        <w:spacing w:after="80"/>
      </w:pPr>
      <w:r>
        <w:rPr>
          <w:sz w:val="22"/>
          <w:szCs w:val="22"/>
        </w:rPr>
        <w:t xml:space="preserve">Fair Work Act 2009 (Cth)</w:t>
      </w:r>
    </w:p>
    <w:p>
      <w:pPr>
        <w:pStyle w:val="ListParagraph"/>
        <w:numPr>
          <w:ilvl w:val="0"/>
          <w:numId w:val="2"/>
        </w:numPr>
        <w:spacing w:after="80"/>
      </w:pPr>
      <w:r>
        <w:rPr>
          <w:sz w:val="22"/>
          <w:szCs w:val="22"/>
        </w:rPr>
        <w:t xml:space="preserve">Social, Community, Home Care and Disability Services Industry Award (SCHADS Award)</w:t>
      </w:r>
    </w:p>
    <w:p>
      <w:pPr>
        <w:pStyle w:val="ListParagraph"/>
        <w:numPr>
          <w:ilvl w:val="0"/>
          <w:numId w:val="2"/>
        </w:numPr>
        <w:spacing w:after="80"/>
      </w:pPr>
      <w:r>
        <w:rPr>
          <w:sz w:val="22"/>
          <w:szCs w:val="22"/>
        </w:rPr>
        <w:t xml:space="preserve">Disability Inclusion Act 2014 (NSW)</w:t>
      </w:r>
    </w:p>
    <w:p>
      <w:pPr>
        <w:pStyle w:val="ListParagraph"/>
        <w:numPr>
          <w:ilvl w:val="0"/>
          <w:numId w:val="2"/>
        </w:numPr>
        <w:spacing w:after="80"/>
      </w:pPr>
      <w:r>
        <w:rPr>
          <w:sz w:val="22"/>
          <w:szCs w:val="22"/>
        </w:rPr>
        <w:t xml:space="preserve">United Nations Convention on the Rights of Persons with Disabilities (UNCRPD)</w:t>
      </w:r>
    </w:p>
    <w:p>
      <w:pPr>
        <w:pStyle w:val="Heading1"/>
      </w:pPr>
      <w:r>
        <w:t xml:space="preserve">4. Definitions</w:t>
      </w:r>
    </w:p>
    <w:p>
      <w:pPr>
        <w:spacing w:after="120"/>
      </w:pPr>
      <w:r>
        <w:rPr>
          <w:b/>
          <w:bCs/>
          <w:sz w:val="22"/>
          <w:szCs w:val="22"/>
        </w:rPr>
        <w:t xml:space="preserve">Key Personnel: </w:t>
      </w:r>
      <w:r>
        <w:rPr>
          <w:sz w:val="22"/>
          <w:szCs w:val="22"/>
        </w:rPr>
        <w:t xml:space="preserve">Those persons who are responsible for the executive decisions of the organisation, including the Director and any senior management positions.</w:t>
      </w:r>
    </w:p>
    <w:p>
      <w:pPr>
        <w:spacing w:after="120"/>
      </w:pPr>
      <w:r>
        <w:rPr>
          <w:b/>
          <w:bCs/>
          <w:sz w:val="22"/>
          <w:szCs w:val="22"/>
        </w:rPr>
        <w:t xml:space="preserve">Worker: </w:t>
      </w:r>
      <w:r>
        <w:rPr>
          <w:sz w:val="22"/>
          <w:szCs w:val="22"/>
        </w:rPr>
        <w:t xml:space="preserve">Any person who carries out work for Asina Disability Services including employees, contractors, subcontractors, and volunteers.</w:t>
      </w:r>
    </w:p>
    <w:p>
      <w:pPr>
        <w:spacing w:after="120"/>
      </w:pPr>
      <w:r>
        <w:rPr>
          <w:b/>
          <w:bCs/>
          <w:sz w:val="22"/>
          <w:szCs w:val="22"/>
        </w:rPr>
        <w:t xml:space="preserve">Participant: </w:t>
      </w:r>
      <w:r>
        <w:rPr>
          <w:sz w:val="22"/>
          <w:szCs w:val="22"/>
        </w:rPr>
        <w:t xml:space="preserve">A person with disability who receives supports or services funded under the NDIS.</w:t>
      </w:r>
    </w:p>
    <w:p>
      <w:pPr>
        <w:spacing w:after="120"/>
      </w:pPr>
      <w:r>
        <w:rPr>
          <w:b/>
          <w:bCs/>
          <w:sz w:val="22"/>
          <w:szCs w:val="22"/>
        </w:rPr>
        <w:t xml:space="preserve">NDIS Commission: </w:t>
      </w:r>
      <w:r>
        <w:rPr>
          <w:sz w:val="22"/>
          <w:szCs w:val="22"/>
        </w:rPr>
        <w:t xml:space="preserve">The NDIS Quality and Safeguards Commission.</w:t>
      </w:r>
    </w:p>
    <w:p>
      <w:pPr>
        <w:pStyle w:val="Heading1"/>
      </w:pPr>
      <w:r>
        <w:t xml:space="preserve">5. Policy Statement</w:t>
      </w:r>
    </w:p>
    <w:p>
      <w:pPr>
        <w:pStyle w:val="Heading2"/>
      </w:pPr>
      <w:r>
        <w:t xml:space="preserve">5.1 Organisational Structure</w:t>
      </w:r>
    </w:p>
    <w:p>
      <w:pPr>
        <w:spacing w:after="120"/>
      </w:pPr>
      <w:r>
        <w:rPr>
          <w:sz w:val="22"/>
          <w:szCs w:val="22"/>
        </w:rPr>
        <w:t xml:space="preserve">Asina Disability Services maintains a clear organisational structure with defined roles, responsibilities, and lines of accountability. The Director holds ultimate responsibility for governance and compliance.</w:t>
      </w:r>
    </w:p>
    <w:p>
      <w:pPr>
        <w:spacing w:after="120"/>
      </w:pPr>
      <w:r>
        <w:rPr>
          <w:sz w:val="22"/>
          <w:szCs w:val="22"/>
        </w:rPr>
        <w:t xml:space="preserve">The organisational structure ensures that:</w:t>
      </w:r>
    </w:p>
    <w:p>
      <w:pPr>
        <w:pStyle w:val="ListParagraph"/>
        <w:numPr>
          <w:ilvl w:val="0"/>
          <w:numId w:val="2"/>
        </w:numPr>
        <w:spacing w:after="80"/>
      </w:pPr>
      <w:r>
        <w:rPr>
          <w:sz w:val="22"/>
          <w:szCs w:val="22"/>
        </w:rPr>
        <w:t xml:space="preserve">There are clearly defined and documented roles and responsibilities for all positions</w:t>
      </w:r>
    </w:p>
    <w:p>
      <w:pPr>
        <w:pStyle w:val="ListParagraph"/>
        <w:numPr>
          <w:ilvl w:val="0"/>
          <w:numId w:val="2"/>
        </w:numPr>
        <w:spacing w:after="80"/>
      </w:pPr>
      <w:r>
        <w:rPr>
          <w:sz w:val="22"/>
          <w:szCs w:val="22"/>
        </w:rPr>
        <w:t xml:space="preserve">Lines of reporting and accountability are transparent and understood by all workers</w:t>
      </w:r>
    </w:p>
    <w:p>
      <w:pPr>
        <w:pStyle w:val="ListParagraph"/>
        <w:numPr>
          <w:ilvl w:val="0"/>
          <w:numId w:val="2"/>
        </w:numPr>
        <w:spacing w:after="80"/>
      </w:pPr>
      <w:r>
        <w:rPr>
          <w:sz w:val="22"/>
          <w:szCs w:val="22"/>
        </w:rPr>
        <w:t xml:space="preserve">Decision-making processes are documented and consistently applied</w:t>
      </w:r>
    </w:p>
    <w:p>
      <w:pPr>
        <w:pStyle w:val="ListParagraph"/>
        <w:numPr>
          <w:ilvl w:val="0"/>
          <w:numId w:val="2"/>
        </w:numPr>
        <w:spacing w:after="80"/>
      </w:pPr>
      <w:r>
        <w:rPr>
          <w:sz w:val="22"/>
          <w:szCs w:val="22"/>
        </w:rPr>
        <w:t xml:space="preserve">Conflicts of interest are identified, declared, and managed appropriately</w:t>
      </w:r>
    </w:p>
    <w:p>
      <w:pPr>
        <w:pStyle w:val="Heading2"/>
      </w:pPr>
      <w:r>
        <w:t xml:space="preserve">5.2 Strategic and Operational Planning</w:t>
      </w:r>
    </w:p>
    <w:p>
      <w:pPr>
        <w:spacing w:after="120"/>
      </w:pPr>
      <w:r>
        <w:rPr>
          <w:sz w:val="22"/>
          <w:szCs w:val="22"/>
        </w:rPr>
        <w:t xml:space="preserve">Asina Disability Services maintains documented strategic and operational plans that are reviewed annually and include:</w:t>
      </w:r>
    </w:p>
    <w:p>
      <w:pPr>
        <w:pStyle w:val="ListParagraph"/>
        <w:numPr>
          <w:ilvl w:val="0"/>
          <w:numId w:val="2"/>
        </w:numPr>
        <w:spacing w:after="80"/>
      </w:pPr>
      <w:r>
        <w:rPr>
          <w:sz w:val="22"/>
          <w:szCs w:val="22"/>
        </w:rPr>
        <w:t xml:space="preserve">The organisation's vision, mission, and values aligned with participant outcomes</w:t>
      </w:r>
    </w:p>
    <w:p>
      <w:pPr>
        <w:pStyle w:val="ListParagraph"/>
        <w:numPr>
          <w:ilvl w:val="0"/>
          <w:numId w:val="2"/>
        </w:numPr>
        <w:spacing w:after="80"/>
      </w:pPr>
      <w:r>
        <w:rPr>
          <w:sz w:val="22"/>
          <w:szCs w:val="22"/>
        </w:rPr>
        <w:t xml:space="preserve">Measurable goals and objectives with clear timeframes</w:t>
      </w:r>
    </w:p>
    <w:p>
      <w:pPr>
        <w:pStyle w:val="ListParagraph"/>
        <w:numPr>
          <w:ilvl w:val="0"/>
          <w:numId w:val="2"/>
        </w:numPr>
        <w:spacing w:after="80"/>
      </w:pPr>
      <w:r>
        <w:rPr>
          <w:sz w:val="22"/>
          <w:szCs w:val="22"/>
        </w:rPr>
        <w:t xml:space="preserve">Resource allocation strategies to support quality service delivery</w:t>
      </w:r>
    </w:p>
    <w:p>
      <w:pPr>
        <w:pStyle w:val="ListParagraph"/>
        <w:numPr>
          <w:ilvl w:val="0"/>
          <w:numId w:val="2"/>
        </w:numPr>
        <w:spacing w:after="80"/>
      </w:pPr>
      <w:r>
        <w:rPr>
          <w:sz w:val="22"/>
          <w:szCs w:val="22"/>
        </w:rPr>
        <w:t xml:space="preserve">Performance indicators that are regularly monitored and reported on</w:t>
      </w:r>
    </w:p>
    <w:p>
      <w:pPr>
        <w:pStyle w:val="Heading2"/>
      </w:pPr>
      <w:r>
        <w:t xml:space="preserve">5.3 Compliance and Accountability</w:t>
      </w:r>
    </w:p>
    <w:p>
      <w:pPr>
        <w:spacing w:after="120"/>
      </w:pPr>
      <w:r>
        <w:rPr>
          <w:sz w:val="22"/>
          <w:szCs w:val="22"/>
        </w:rPr>
        <w:t xml:space="preserve">The organisation maintains a legislative compliance register that is reviewed quarterly and updated when legislative changes occur. Compliance activities include:</w:t>
      </w:r>
    </w:p>
    <w:p>
      <w:pPr>
        <w:pStyle w:val="ListParagraph"/>
        <w:numPr>
          <w:ilvl w:val="0"/>
          <w:numId w:val="2"/>
        </w:numPr>
        <w:spacing w:after="80"/>
      </w:pPr>
      <w:r>
        <w:rPr>
          <w:sz w:val="22"/>
          <w:szCs w:val="22"/>
        </w:rPr>
        <w:t xml:space="preserve">Maintaining current NDIS provider registration and meeting all conditions of registration</w:t>
      </w:r>
    </w:p>
    <w:p>
      <w:pPr>
        <w:pStyle w:val="ListParagraph"/>
        <w:numPr>
          <w:ilvl w:val="0"/>
          <w:numId w:val="2"/>
        </w:numPr>
        <w:spacing w:after="80"/>
      </w:pPr>
      <w:r>
        <w:rPr>
          <w:sz w:val="22"/>
          <w:szCs w:val="22"/>
        </w:rPr>
        <w:t xml:space="preserve">Conducting regular internal audits against the NDIS Practice Standards</w:t>
      </w:r>
    </w:p>
    <w:p>
      <w:pPr>
        <w:pStyle w:val="ListParagraph"/>
        <w:numPr>
          <w:ilvl w:val="0"/>
          <w:numId w:val="2"/>
        </w:numPr>
        <w:spacing w:after="80"/>
      </w:pPr>
      <w:r>
        <w:rPr>
          <w:sz w:val="22"/>
          <w:szCs w:val="22"/>
        </w:rPr>
        <w:t xml:space="preserve">Ensuring all workers complete mandatory training and hold required qualifications</w:t>
      </w:r>
    </w:p>
    <w:p>
      <w:pPr>
        <w:pStyle w:val="ListParagraph"/>
        <w:numPr>
          <w:ilvl w:val="0"/>
          <w:numId w:val="2"/>
        </w:numPr>
        <w:spacing w:after="80"/>
      </w:pPr>
      <w:r>
        <w:rPr>
          <w:sz w:val="22"/>
          <w:szCs w:val="22"/>
        </w:rPr>
        <w:t xml:space="preserve">Engaging with external audits as required by the NDIS Commission</w:t>
      </w:r>
    </w:p>
    <w:p>
      <w:pPr>
        <w:pStyle w:val="ListParagraph"/>
        <w:numPr>
          <w:ilvl w:val="0"/>
          <w:numId w:val="2"/>
        </w:numPr>
        <w:spacing w:after="80"/>
      </w:pPr>
      <w:r>
        <w:rPr>
          <w:sz w:val="22"/>
          <w:szCs w:val="22"/>
        </w:rPr>
        <w:t xml:space="preserve">Maintaining a Quality Improvement Register to track and implement improvements</w:t>
      </w:r>
    </w:p>
    <w:p>
      <w:pPr>
        <w:pStyle w:val="Heading2"/>
      </w:pPr>
      <w:r>
        <w:t xml:space="preserve">5.4 Financial Governance</w:t>
      </w:r>
    </w:p>
    <w:p>
      <w:pPr>
        <w:spacing w:after="120"/>
      </w:pPr>
      <w:r>
        <w:rPr>
          <w:sz w:val="22"/>
          <w:szCs w:val="22"/>
        </w:rPr>
        <w:t xml:space="preserve">Sound financial management practices are maintained including:</w:t>
      </w:r>
    </w:p>
    <w:p>
      <w:pPr>
        <w:pStyle w:val="ListParagraph"/>
        <w:numPr>
          <w:ilvl w:val="0"/>
          <w:numId w:val="2"/>
        </w:numPr>
        <w:spacing w:after="80"/>
      </w:pPr>
      <w:r>
        <w:rPr>
          <w:sz w:val="22"/>
          <w:szCs w:val="22"/>
        </w:rPr>
        <w:t xml:space="preserve">Annual budgets reviewed quarterly against actual performance</w:t>
      </w:r>
    </w:p>
    <w:p>
      <w:pPr>
        <w:pStyle w:val="ListParagraph"/>
        <w:numPr>
          <w:ilvl w:val="0"/>
          <w:numId w:val="2"/>
        </w:numPr>
        <w:spacing w:after="80"/>
      </w:pPr>
      <w:r>
        <w:rPr>
          <w:sz w:val="22"/>
          <w:szCs w:val="22"/>
        </w:rPr>
        <w:t xml:space="preserve">Transparent financial record-keeping in accordance with Australian Accounting Standards</w:t>
      </w:r>
    </w:p>
    <w:p>
      <w:pPr>
        <w:pStyle w:val="ListParagraph"/>
        <w:numPr>
          <w:ilvl w:val="0"/>
          <w:numId w:val="2"/>
        </w:numPr>
        <w:spacing w:after="80"/>
      </w:pPr>
      <w:r>
        <w:rPr>
          <w:sz w:val="22"/>
          <w:szCs w:val="22"/>
        </w:rPr>
        <w:t xml:space="preserve">Appropriate insurance coverage including professional indemnity, public liability, and workers compensation</w:t>
      </w:r>
    </w:p>
    <w:p>
      <w:pPr>
        <w:pStyle w:val="ListParagraph"/>
        <w:numPr>
          <w:ilvl w:val="0"/>
          <w:numId w:val="2"/>
        </w:numPr>
        <w:spacing w:after="80"/>
      </w:pPr>
      <w:r>
        <w:rPr>
          <w:sz w:val="22"/>
          <w:szCs w:val="22"/>
        </w:rPr>
        <w:t xml:space="preserve">Separation of duties for financial transactions where practicable</w:t>
      </w:r>
    </w:p>
    <w:p>
      <w:pPr>
        <w:pStyle w:val="Heading2"/>
      </w:pPr>
      <w:r>
        <w:t xml:space="preserve">5.5 Ethical Conduct</w:t>
      </w:r>
    </w:p>
    <w:p>
      <w:pPr>
        <w:spacing w:after="120"/>
      </w:pPr>
      <w:r>
        <w:rPr>
          <w:sz w:val="22"/>
          <w:szCs w:val="22"/>
        </w:rPr>
        <w:t xml:space="preserve">All key personnel and workers must act ethically and in accordance with the NDIS Code of Conduct, which requires:</w:t>
      </w:r>
    </w:p>
    <w:p>
      <w:pPr>
        <w:pStyle w:val="ListParagraph"/>
        <w:numPr>
          <w:ilvl w:val="0"/>
          <w:numId w:val="2"/>
        </w:numPr>
        <w:spacing w:after="80"/>
      </w:pPr>
      <w:r>
        <w:rPr>
          <w:sz w:val="22"/>
          <w:szCs w:val="22"/>
        </w:rPr>
        <w:t xml:space="preserve">Acting with respect for individual rights to freedom of expression, self-determination, and decision-making</w:t>
      </w:r>
    </w:p>
    <w:p>
      <w:pPr>
        <w:pStyle w:val="ListParagraph"/>
        <w:numPr>
          <w:ilvl w:val="0"/>
          <w:numId w:val="2"/>
        </w:numPr>
        <w:spacing w:after="80"/>
      </w:pPr>
      <w:r>
        <w:rPr>
          <w:sz w:val="22"/>
          <w:szCs w:val="22"/>
        </w:rPr>
        <w:t xml:space="preserve">Respecting the privacy of people with disability</w:t>
      </w:r>
    </w:p>
    <w:p>
      <w:pPr>
        <w:pStyle w:val="ListParagraph"/>
        <w:numPr>
          <w:ilvl w:val="0"/>
          <w:numId w:val="2"/>
        </w:numPr>
        <w:spacing w:after="80"/>
      </w:pPr>
      <w:r>
        <w:rPr>
          <w:sz w:val="22"/>
          <w:szCs w:val="22"/>
        </w:rPr>
        <w:t xml:space="preserve">Providing supports and services in a safe and competent manner with care and skill</w:t>
      </w:r>
    </w:p>
    <w:p>
      <w:pPr>
        <w:pStyle w:val="ListParagraph"/>
        <w:numPr>
          <w:ilvl w:val="0"/>
          <w:numId w:val="2"/>
        </w:numPr>
        <w:spacing w:after="80"/>
      </w:pPr>
      <w:r>
        <w:rPr>
          <w:sz w:val="22"/>
          <w:szCs w:val="22"/>
        </w:rPr>
        <w:t xml:space="preserve">Acting with integrity, honesty, and transparency</w:t>
      </w:r>
    </w:p>
    <w:p>
      <w:pPr>
        <w:pStyle w:val="ListParagraph"/>
        <w:numPr>
          <w:ilvl w:val="0"/>
          <w:numId w:val="2"/>
        </w:numPr>
        <w:spacing w:after="80"/>
      </w:pPr>
      <w:r>
        <w:rPr>
          <w:sz w:val="22"/>
          <w:szCs w:val="22"/>
        </w:rPr>
        <w:t xml:space="preserve">Promptly raising and acting on concerns about quality and safety of supports</w:t>
      </w:r>
    </w:p>
    <w:p>
      <w:pPr>
        <w:pStyle w:val="ListParagraph"/>
        <w:numPr>
          <w:ilvl w:val="0"/>
          <w:numId w:val="2"/>
        </w:numPr>
        <w:spacing w:after="80"/>
      </w:pPr>
      <w:r>
        <w:rPr>
          <w:sz w:val="22"/>
          <w:szCs w:val="22"/>
        </w:rPr>
        <w:t xml:space="preserve">Taking all reasonable steps to prevent and respond to violence, abuse, neglect, exploitation, and discrimination</w:t>
      </w:r>
    </w:p>
    <w:p>
      <w:pPr>
        <w:pStyle w:val="ListParagraph"/>
        <w:numPr>
          <w:ilvl w:val="0"/>
          <w:numId w:val="2"/>
        </w:numPr>
        <w:spacing w:after="80"/>
      </w:pPr>
      <w:r>
        <w:rPr>
          <w:sz w:val="22"/>
          <w:szCs w:val="22"/>
        </w:rPr>
        <w:t xml:space="preserve">Taking all reasonable steps to prevent and respond to sexual misconduct</w:t>
      </w:r>
    </w:p>
    <w:p>
      <w:pPr>
        <w:pStyle w:val="Heading1"/>
      </w:pPr>
      <w:r>
        <w:t xml:space="preserve">6. Procedures</w:t>
      </w:r>
    </w:p>
    <w:p>
      <w:pPr>
        <w:pStyle w:val="Heading2"/>
      </w:pPr>
      <w:r>
        <w:t xml:space="preserve">6.1 Governance Review</w:t>
      </w:r>
    </w:p>
    <w:p>
      <w:pPr>
        <w:pStyle w:val="ListParagraph"/>
        <w:numPr>
          <w:ilvl w:val="0"/>
          <w:numId w:val="3"/>
        </w:numPr>
        <w:spacing w:after="80"/>
      </w:pPr>
      <w:r>
        <w:rPr>
          <w:sz w:val="22"/>
          <w:szCs w:val="22"/>
        </w:rPr>
        <w:t xml:space="preserve">The Director shall conduct a formal governance review at least annually.</w:t>
      </w:r>
    </w:p>
    <w:p>
      <w:pPr>
        <w:pStyle w:val="ListParagraph"/>
        <w:numPr>
          <w:ilvl w:val="0"/>
          <w:numId w:val="3"/>
        </w:numPr>
        <w:spacing w:after="80"/>
      </w:pPr>
      <w:r>
        <w:rPr>
          <w:sz w:val="22"/>
          <w:szCs w:val="22"/>
        </w:rPr>
        <w:t xml:space="preserve">The review will assess the effectiveness of governance structures, policies, and practices.</w:t>
      </w:r>
    </w:p>
    <w:p>
      <w:pPr>
        <w:pStyle w:val="ListParagraph"/>
        <w:numPr>
          <w:ilvl w:val="0"/>
          <w:numId w:val="3"/>
        </w:numPr>
        <w:spacing w:after="80"/>
      </w:pPr>
      <w:r>
        <w:rPr>
          <w:sz w:val="22"/>
          <w:szCs w:val="22"/>
        </w:rPr>
        <w:t xml:space="preserve">Findings and actions are documented in the Quality Improvement Register.</w:t>
      </w:r>
    </w:p>
    <w:p>
      <w:pPr>
        <w:pStyle w:val="ListParagraph"/>
        <w:numPr>
          <w:ilvl w:val="0"/>
          <w:numId w:val="3"/>
        </w:numPr>
        <w:spacing w:after="80"/>
      </w:pPr>
      <w:r>
        <w:rPr>
          <w:sz w:val="22"/>
          <w:szCs w:val="22"/>
        </w:rPr>
        <w:t xml:space="preserve">Worker and participant feedback is incorporated into governance reviews.</w:t>
      </w:r>
    </w:p>
    <w:p>
      <w:pPr>
        <w:pStyle w:val="Heading2"/>
      </w:pPr>
      <w:r>
        <w:t xml:space="preserve">6.2 Conflict of Interest Management</w:t>
      </w:r>
    </w:p>
    <w:p>
      <w:pPr>
        <w:pStyle w:val="ListParagraph"/>
        <w:numPr>
          <w:ilvl w:val="0"/>
          <w:numId w:val="3"/>
        </w:numPr>
        <w:spacing w:after="80"/>
      </w:pPr>
      <w:r>
        <w:rPr>
          <w:sz w:val="22"/>
          <w:szCs w:val="22"/>
        </w:rPr>
        <w:t xml:space="preserve">All key personnel and workers must declare any actual, potential, or perceived conflicts of interest upon commencement and whenever they arise.</w:t>
      </w:r>
    </w:p>
    <w:p>
      <w:pPr>
        <w:pStyle w:val="ListParagraph"/>
        <w:numPr>
          <w:ilvl w:val="0"/>
          <w:numId w:val="3"/>
        </w:numPr>
        <w:spacing w:after="80"/>
      </w:pPr>
      <w:r>
        <w:rPr>
          <w:sz w:val="22"/>
          <w:szCs w:val="22"/>
        </w:rPr>
        <w:t xml:space="preserve">Declarations are recorded in the Conflict of Interest Register.</w:t>
      </w:r>
    </w:p>
    <w:p>
      <w:pPr>
        <w:pStyle w:val="ListParagraph"/>
        <w:numPr>
          <w:ilvl w:val="0"/>
          <w:numId w:val="3"/>
        </w:numPr>
        <w:spacing w:after="80"/>
      </w:pPr>
      <w:r>
        <w:rPr>
          <w:sz w:val="22"/>
          <w:szCs w:val="22"/>
        </w:rPr>
        <w:t xml:space="preserve">Appropriate management strategies are implemented for any identified conflicts.</w:t>
      </w:r>
    </w:p>
    <w:p>
      <w:pPr>
        <w:pStyle w:val="ListParagraph"/>
        <w:numPr>
          <w:ilvl w:val="0"/>
          <w:numId w:val="3"/>
        </w:numPr>
        <w:spacing w:after="80"/>
      </w:pPr>
      <w:r>
        <w:rPr>
          <w:sz w:val="22"/>
          <w:szCs w:val="22"/>
        </w:rPr>
        <w:t xml:space="preserve">The register is reviewed annually by the Director.</w:t>
      </w:r>
    </w:p>
    <w:p>
      <w:pPr>
        <w:pStyle w:val="Heading2"/>
      </w:pPr>
      <w:r>
        <w:t xml:space="preserve">6.3 Policy Management</w:t>
      </w:r>
    </w:p>
    <w:p>
      <w:pPr>
        <w:pStyle w:val="ListParagraph"/>
        <w:numPr>
          <w:ilvl w:val="0"/>
          <w:numId w:val="3"/>
        </w:numPr>
        <w:spacing w:after="80"/>
      </w:pPr>
      <w:r>
        <w:rPr>
          <w:sz w:val="22"/>
          <w:szCs w:val="22"/>
        </w:rPr>
        <w:t xml:space="preserve">All policies and procedures are reviewed at least annually or more frequently when required by legislative changes, incident outcomes, or feedback.</w:t>
      </w:r>
    </w:p>
    <w:p>
      <w:pPr>
        <w:pStyle w:val="ListParagraph"/>
        <w:numPr>
          <w:ilvl w:val="0"/>
          <w:numId w:val="3"/>
        </w:numPr>
        <w:spacing w:after="80"/>
      </w:pPr>
      <w:r>
        <w:rPr>
          <w:sz w:val="22"/>
          <w:szCs w:val="22"/>
        </w:rPr>
        <w:t xml:space="preserve">Policy reviews involve consultation with workers and, where appropriate, participants and their families.</w:t>
      </w:r>
    </w:p>
    <w:p>
      <w:pPr>
        <w:pStyle w:val="ListParagraph"/>
        <w:numPr>
          <w:ilvl w:val="0"/>
          <w:numId w:val="3"/>
        </w:numPr>
        <w:spacing w:after="80"/>
      </w:pPr>
      <w:r>
        <w:rPr>
          <w:sz w:val="22"/>
          <w:szCs w:val="22"/>
        </w:rPr>
        <w:t xml:space="preserve">Updated policies are communicated to all workers and acknowledged in writing.</w:t>
      </w:r>
    </w:p>
    <w:p>
      <w:pPr>
        <w:pStyle w:val="ListParagraph"/>
        <w:numPr>
          <w:ilvl w:val="0"/>
          <w:numId w:val="3"/>
        </w:numPr>
        <w:spacing w:after="80"/>
      </w:pPr>
      <w:r>
        <w:rPr>
          <w:sz w:val="22"/>
          <w:szCs w:val="22"/>
        </w:rPr>
        <w:t xml:space="preserve">Superseded versions are archived with clear version control.</w:t>
      </w:r>
    </w:p>
    <w:p>
      <w:pPr>
        <w:pStyle w:val="Heading1"/>
      </w:pPr>
      <w:r>
        <w:t xml:space="preserve">7. Responsibilities</w:t>
      </w:r>
    </w:p>
    <w:p>
      <w:pPr>
        <w:spacing w:after="120"/>
      </w:pPr>
      <w:r>
        <w:rPr>
          <w:b/>
          <w:bCs/>
          <w:sz w:val="22"/>
          <w:szCs w:val="22"/>
        </w:rPr>
        <w:t xml:space="preserve">Director: </w:t>
      </w:r>
      <w:r>
        <w:rPr>
          <w:sz w:val="22"/>
          <w:szCs w:val="22"/>
        </w:rPr>
        <w:t xml:space="preserve">Overall accountability for governance, compliance, strategic direction, policy approval, and ensuring adequate resources for safe and quality service delivery.</w:t>
      </w:r>
    </w:p>
    <w:p>
      <w:pPr>
        <w:spacing w:after="120"/>
      </w:pPr>
      <w:r>
        <w:rPr>
          <w:b/>
          <w:bCs/>
          <w:sz w:val="22"/>
          <w:szCs w:val="22"/>
        </w:rPr>
        <w:t xml:space="preserve">Workers: </w:t>
      </w:r>
      <w:r>
        <w:rPr>
          <w:sz w:val="22"/>
          <w:szCs w:val="22"/>
        </w:rPr>
        <w:t xml:space="preserve">Comply with all policies and procedures, report concerns, participate in governance processes, and act in accordance with the NDIS Code of Conduct.</w:t>
      </w:r>
    </w:p>
    <w:p>
      <w:pPr>
        <w:pStyle w:val="Heading1"/>
      </w:pPr>
      <w:r>
        <w:t xml:space="preserve">8. Related Documents</w:t>
      </w:r>
    </w:p>
    <w:p>
      <w:pPr>
        <w:pStyle w:val="ListParagraph"/>
        <w:numPr>
          <w:ilvl w:val="0"/>
          <w:numId w:val="2"/>
        </w:numPr>
        <w:spacing w:after="80"/>
      </w:pPr>
      <w:r>
        <w:rPr>
          <w:sz w:val="22"/>
          <w:szCs w:val="22"/>
        </w:rPr>
        <w:t xml:space="preserve">POL-GOV-002 Risk Management Policy</w:t>
      </w:r>
    </w:p>
    <w:p>
      <w:pPr>
        <w:pStyle w:val="ListParagraph"/>
        <w:numPr>
          <w:ilvl w:val="0"/>
          <w:numId w:val="2"/>
        </w:numPr>
        <w:spacing w:after="80"/>
      </w:pPr>
      <w:r>
        <w:rPr>
          <w:sz w:val="22"/>
          <w:szCs w:val="22"/>
        </w:rPr>
        <w:t xml:space="preserve">POL-GOV-003 Quality Management and Continuous Improvement Policy</w:t>
      </w:r>
    </w:p>
    <w:p>
      <w:pPr>
        <w:pStyle w:val="ListParagraph"/>
        <w:numPr>
          <w:ilvl w:val="0"/>
          <w:numId w:val="2"/>
        </w:numPr>
        <w:spacing w:after="80"/>
      </w:pPr>
      <w:r>
        <w:rPr>
          <w:sz w:val="22"/>
          <w:szCs w:val="22"/>
        </w:rPr>
        <w:t xml:space="preserve">POL-GOV-004 Financial Management Policy</w:t>
      </w:r>
    </w:p>
    <w:p>
      <w:pPr>
        <w:pStyle w:val="ListParagraph"/>
        <w:numPr>
          <w:ilvl w:val="0"/>
          <w:numId w:val="2"/>
        </w:numPr>
        <w:spacing w:after="80"/>
      </w:pPr>
      <w:r>
        <w:rPr>
          <w:sz w:val="22"/>
          <w:szCs w:val="22"/>
        </w:rPr>
        <w:t xml:space="preserve">POL-GOV-005 Information Management and Record Keeping Policy</w:t>
      </w:r>
    </w:p>
    <w:p>
      <w:pPr>
        <w:pStyle w:val="ListParagraph"/>
        <w:numPr>
          <w:ilvl w:val="0"/>
          <w:numId w:val="2"/>
        </w:numPr>
        <w:spacing w:after="80"/>
      </w:pPr>
      <w:r>
        <w:rPr>
          <w:sz w:val="22"/>
          <w:szCs w:val="22"/>
        </w:rPr>
        <w:t xml:space="preserve">POL-HR-001 Code of Conduct</w:t>
      </w:r>
    </w:p>
    <w:p>
      <w:pPr>
        <w:pStyle w:val="ListParagraph"/>
        <w:numPr>
          <w:ilvl w:val="0"/>
          <w:numId w:val="2"/>
        </w:numPr>
        <w:spacing w:after="80"/>
      </w:pPr>
      <w:r>
        <w:rPr>
          <w:sz w:val="22"/>
          <w:szCs w:val="22"/>
        </w:rPr>
        <w:t xml:space="preserve">Conflict of Interest Register</w:t>
      </w:r>
    </w:p>
    <w:p>
      <w:pPr>
        <w:pStyle w:val="ListParagraph"/>
        <w:numPr>
          <w:ilvl w:val="0"/>
          <w:numId w:val="2"/>
        </w:numPr>
        <w:spacing w:after="80"/>
      </w:pPr>
      <w:r>
        <w:rPr>
          <w:sz w:val="22"/>
          <w:szCs w:val="22"/>
        </w:rPr>
        <w:t xml:space="preserve">Legislative Compliance Register</w:t>
      </w:r>
    </w:p>
    <w:p>
      <w:pPr>
        <w:pStyle w:val="ListParagraph"/>
        <w:numPr>
          <w:ilvl w:val="0"/>
          <w:numId w:val="2"/>
        </w:numPr>
        <w:spacing w:after="80"/>
      </w:pPr>
      <w:r>
        <w:rPr>
          <w:sz w:val="22"/>
          <w:szCs w:val="22"/>
        </w:rPr>
        <w:t xml:space="preserve">Quality Improvement Register</w:t>
      </w:r>
    </w:p>
    <w:p>
      <w:pPr>
        <w:pStyle w:val="Heading1"/>
      </w:pPr>
      <w:r>
        <w:t xml:space="preserve">9. Review</w:t>
      </w:r>
    </w:p>
    <w:p>
      <w:pPr>
        <w:spacing w:after="120"/>
      </w:pPr>
      <w:r>
        <w:rPr>
          <w:sz w:val="22"/>
          <w:szCs w:val="22"/>
        </w:rPr>
        <w:t xml:space="preserve">This policy will be reviewed annually, or sooner if there are changes to legislation, NDIS Practice Standards, organisational structure, or following a significant incident or complaint.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POL-GOV-001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Governance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2026-03-11T06:52:42.759Z</dcterms:created>
  <dcterms:modified xsi:type="dcterms:W3CDTF">2026-03-11T06:52:42.762Z</dcterms:modified>
</cp:coreProperties>
</file>

<file path=docProps/custom.xml><?xml version="1.0" encoding="utf-8"?>
<Properties xmlns="http://schemas.openxmlformats.org/officeDocument/2006/custom-properties" xmlns:vt="http://schemas.openxmlformats.org/officeDocument/2006/docPropsVTypes"/>
</file>