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RISK MANAGEMENT</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POL-GOV-002</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the risk management framework for Asina Disability Services to systematically identify, assess, manage, and monitor risks to participants, workers, and the organisation. Effective risk management is essential to ensuring the safety and wellbeing of NDIS participants and the sustainability of the organisation.</w:t>
      </w:r>
    </w:p>
    <w:p>
      <w:pPr>
        <w:pStyle w:val="Heading1"/>
      </w:pPr>
      <w:r>
        <w:t xml:space="preserve">2. Scope</w:t>
      </w:r>
    </w:p>
    <w:p>
      <w:pPr>
        <w:spacing w:after="120"/>
      </w:pPr>
      <w:r>
        <w:rPr>
          <w:sz w:val="22"/>
          <w:szCs w:val="22"/>
        </w:rPr>
        <w:t xml:space="preserve">This policy applies to all workers, operations, and activities of Asina Disability Services. It covers risks across all areas including participant safety, worker safety, service delivery, compliance, financial, reputational, and operational risks.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Governance and Operational Management</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Work Health and Safety Act 2011 (NSW)</w:t>
      </w:r>
    </w:p>
    <w:p>
      <w:pPr>
        <w:pStyle w:val="ListParagraph"/>
        <w:numPr>
          <w:ilvl w:val="0"/>
          <w:numId w:val="2"/>
        </w:numPr>
        <w:spacing w:after="80"/>
      </w:pPr>
      <w:r>
        <w:rPr>
          <w:sz w:val="22"/>
          <w:szCs w:val="22"/>
        </w:rPr>
        <w:t xml:space="preserve">Work Health and Safety Regulation 2017 (NSW)</w:t>
      </w:r>
    </w:p>
    <w:p>
      <w:pPr>
        <w:pStyle w:val="ListParagraph"/>
        <w:numPr>
          <w:ilvl w:val="0"/>
          <w:numId w:val="2"/>
        </w:numPr>
        <w:spacing w:after="80"/>
      </w:pPr>
      <w:r>
        <w:rPr>
          <w:sz w:val="22"/>
          <w:szCs w:val="22"/>
        </w:rPr>
        <w:t xml:space="preserve">AS/NZS ISO 31000:2018 Risk Management</w:t>
      </w:r>
    </w:p>
    <w:p>
      <w:pPr>
        <w:pStyle w:val="ListParagraph"/>
        <w:numPr>
          <w:ilvl w:val="0"/>
          <w:numId w:val="2"/>
        </w:numPr>
        <w:spacing w:after="80"/>
      </w:pPr>
      <w:r>
        <w:rPr>
          <w:sz w:val="22"/>
          <w:szCs w:val="22"/>
        </w:rPr>
        <w:t xml:space="preserve">NDIS Code of Conduct</w:t>
      </w:r>
    </w:p>
    <w:p>
      <w:pPr>
        <w:pStyle w:val="Heading1"/>
      </w:pPr>
      <w:r>
        <w:t xml:space="preserve">4. Definitions</w:t>
      </w:r>
    </w:p>
    <w:p>
      <w:pPr>
        <w:spacing w:after="120"/>
      </w:pPr>
      <w:r>
        <w:rPr>
          <w:b/>
          <w:bCs/>
          <w:sz w:val="22"/>
          <w:szCs w:val="22"/>
        </w:rPr>
        <w:t xml:space="preserve">Risk: </w:t>
      </w:r>
      <w:r>
        <w:rPr>
          <w:sz w:val="22"/>
          <w:szCs w:val="22"/>
        </w:rPr>
        <w:t xml:space="preserve">The effect of uncertainty on objectives. It is measured in terms of likelihood and consequence.</w:t>
      </w:r>
    </w:p>
    <w:p>
      <w:pPr>
        <w:spacing w:after="120"/>
      </w:pPr>
      <w:r>
        <w:rPr>
          <w:b/>
          <w:bCs/>
          <w:sz w:val="22"/>
          <w:szCs w:val="22"/>
        </w:rPr>
        <w:t xml:space="preserve">Risk Assessment: </w:t>
      </w:r>
      <w:r>
        <w:rPr>
          <w:sz w:val="22"/>
          <w:szCs w:val="22"/>
        </w:rPr>
        <w:t xml:space="preserve">The overall process of risk identification, risk analysis, and risk evaluation.</w:t>
      </w:r>
    </w:p>
    <w:p>
      <w:pPr>
        <w:spacing w:after="120"/>
      </w:pPr>
      <w:r>
        <w:rPr>
          <w:b/>
          <w:bCs/>
          <w:sz w:val="22"/>
          <w:szCs w:val="22"/>
        </w:rPr>
        <w:t xml:space="preserve">Risk Register: </w:t>
      </w:r>
      <w:r>
        <w:rPr>
          <w:sz w:val="22"/>
          <w:szCs w:val="22"/>
        </w:rPr>
        <w:t xml:space="preserve">A documented record of identified risks, their assessment, treatment plans, and monitoring status.</w:t>
      </w:r>
    </w:p>
    <w:p>
      <w:pPr>
        <w:spacing w:after="120"/>
      </w:pPr>
      <w:r>
        <w:rPr>
          <w:b/>
          <w:bCs/>
          <w:sz w:val="22"/>
          <w:szCs w:val="22"/>
        </w:rPr>
        <w:t xml:space="preserve">Hazard: </w:t>
      </w:r>
      <w:r>
        <w:rPr>
          <w:sz w:val="22"/>
          <w:szCs w:val="22"/>
        </w:rPr>
        <w:t xml:space="preserve">A source or situation with a potential for harm in terms of human injury, damage to property, or the environment.</w:t>
      </w:r>
    </w:p>
    <w:p>
      <w:pPr>
        <w:pStyle w:val="Heading1"/>
      </w:pPr>
      <w:r>
        <w:t xml:space="preserve">5. Policy Statement</w:t>
      </w:r>
    </w:p>
    <w:p>
      <w:pPr>
        <w:pStyle w:val="Heading2"/>
      </w:pPr>
      <w:r>
        <w:t xml:space="preserve">5.1 Risk Management Framework</w:t>
      </w:r>
    </w:p>
    <w:p>
      <w:pPr>
        <w:spacing w:after="120"/>
      </w:pPr>
      <w:r>
        <w:rPr>
          <w:sz w:val="22"/>
          <w:szCs w:val="22"/>
        </w:rPr>
        <w:t xml:space="preserve">Asina Disability Services maintains a comprehensive risk management framework that is integrated into all organisational activities and decision-making. The framework follows the AS/NZS ISO 31000 methodology:</w:t>
      </w:r>
    </w:p>
    <w:p>
      <w:pPr>
        <w:pStyle w:val="ListParagraph"/>
        <w:numPr>
          <w:ilvl w:val="0"/>
          <w:numId w:val="3"/>
        </w:numPr>
        <w:spacing w:after="80"/>
      </w:pPr>
      <w:r>
        <w:rPr>
          <w:sz w:val="22"/>
          <w:szCs w:val="22"/>
        </w:rPr>
        <w:t xml:space="preserve">Establish the context (internal and external factors affecting the organisation)</w:t>
      </w:r>
    </w:p>
    <w:p>
      <w:pPr>
        <w:pStyle w:val="ListParagraph"/>
        <w:numPr>
          <w:ilvl w:val="0"/>
          <w:numId w:val="3"/>
        </w:numPr>
        <w:spacing w:after="80"/>
      </w:pPr>
      <w:r>
        <w:rPr>
          <w:sz w:val="22"/>
          <w:szCs w:val="22"/>
        </w:rPr>
        <w:t xml:space="preserve">Identify risks (what can happen, how, and why)</w:t>
      </w:r>
    </w:p>
    <w:p>
      <w:pPr>
        <w:pStyle w:val="ListParagraph"/>
        <w:numPr>
          <w:ilvl w:val="0"/>
          <w:numId w:val="3"/>
        </w:numPr>
        <w:spacing w:after="80"/>
      </w:pPr>
      <w:r>
        <w:rPr>
          <w:sz w:val="22"/>
          <w:szCs w:val="22"/>
        </w:rPr>
        <w:t xml:space="preserve">Analyse risks (determine likelihood and consequence)</w:t>
      </w:r>
    </w:p>
    <w:p>
      <w:pPr>
        <w:pStyle w:val="ListParagraph"/>
        <w:numPr>
          <w:ilvl w:val="0"/>
          <w:numId w:val="3"/>
        </w:numPr>
        <w:spacing w:after="80"/>
      </w:pPr>
      <w:r>
        <w:rPr>
          <w:sz w:val="22"/>
          <w:szCs w:val="22"/>
        </w:rPr>
        <w:t xml:space="preserve">Evaluate risks (compare against risk criteria and prioritise)</w:t>
      </w:r>
    </w:p>
    <w:p>
      <w:pPr>
        <w:pStyle w:val="ListParagraph"/>
        <w:numPr>
          <w:ilvl w:val="0"/>
          <w:numId w:val="3"/>
        </w:numPr>
        <w:spacing w:after="80"/>
      </w:pPr>
      <w:r>
        <w:rPr>
          <w:sz w:val="22"/>
          <w:szCs w:val="22"/>
        </w:rPr>
        <w:t xml:space="preserve">Treat risks (select and implement appropriate controls)</w:t>
      </w:r>
    </w:p>
    <w:p>
      <w:pPr>
        <w:pStyle w:val="ListParagraph"/>
        <w:numPr>
          <w:ilvl w:val="0"/>
          <w:numId w:val="3"/>
        </w:numPr>
        <w:spacing w:after="80"/>
      </w:pPr>
      <w:r>
        <w:rPr>
          <w:sz w:val="22"/>
          <w:szCs w:val="22"/>
        </w:rPr>
        <w:t xml:space="preserve">Monitor and review (ongoing assessment of risk and control effectiveness)</w:t>
      </w:r>
    </w:p>
    <w:p>
      <w:pPr>
        <w:pStyle w:val="ListParagraph"/>
        <w:numPr>
          <w:ilvl w:val="0"/>
          <w:numId w:val="3"/>
        </w:numPr>
        <w:spacing w:after="80"/>
      </w:pPr>
      <w:r>
        <w:rPr>
          <w:sz w:val="22"/>
          <w:szCs w:val="22"/>
        </w:rPr>
        <w:t xml:space="preserve">Communicate and consult (engage stakeholders throughout the process)</w:t>
      </w:r>
    </w:p>
    <w:p>
      <w:pPr>
        <w:pStyle w:val="Heading2"/>
      </w:pPr>
      <w:r>
        <w:t xml:space="preserve">5.2 Risk Categories</w:t>
      </w:r>
    </w:p>
    <w:p>
      <w:pPr>
        <w:spacing w:after="120"/>
      </w:pPr>
      <w:r>
        <w:rPr>
          <w:sz w:val="22"/>
          <w:szCs w:val="22"/>
        </w:rPr>
        <w:t xml:space="preserve">Risks are identified and managed across the following categories:</w:t>
      </w:r>
    </w:p>
    <w:p>
      <w:pPr>
        <w:pStyle w:val="ListParagraph"/>
        <w:numPr>
          <w:ilvl w:val="0"/>
          <w:numId w:val="2"/>
        </w:numPr>
        <w:spacing w:after="80"/>
      </w:pPr>
      <w:r>
        <w:rPr>
          <w:sz w:val="22"/>
          <w:szCs w:val="22"/>
        </w:rPr>
        <w:t xml:space="preserve">Participant Safety: Risks of harm, abuse, neglect, exploitation, or poor outcomes for participants</w:t>
      </w:r>
    </w:p>
    <w:p>
      <w:pPr>
        <w:pStyle w:val="ListParagraph"/>
        <w:numPr>
          <w:ilvl w:val="0"/>
          <w:numId w:val="2"/>
        </w:numPr>
        <w:spacing w:after="80"/>
      </w:pPr>
      <w:r>
        <w:rPr>
          <w:sz w:val="22"/>
          <w:szCs w:val="22"/>
        </w:rPr>
        <w:t xml:space="preserve">Worker Safety: Work health and safety risks including physical, psychological, and environmental hazards</w:t>
      </w:r>
    </w:p>
    <w:p>
      <w:pPr>
        <w:pStyle w:val="ListParagraph"/>
        <w:numPr>
          <w:ilvl w:val="0"/>
          <w:numId w:val="2"/>
        </w:numPr>
        <w:spacing w:after="80"/>
      </w:pPr>
      <w:r>
        <w:rPr>
          <w:sz w:val="22"/>
          <w:szCs w:val="22"/>
        </w:rPr>
        <w:t xml:space="preserve">Service Delivery: Risks affecting the quality, continuity, and appropriateness of supports</w:t>
      </w:r>
    </w:p>
    <w:p>
      <w:pPr>
        <w:pStyle w:val="ListParagraph"/>
        <w:numPr>
          <w:ilvl w:val="0"/>
          <w:numId w:val="2"/>
        </w:numPr>
        <w:spacing w:after="80"/>
      </w:pPr>
      <w:r>
        <w:rPr>
          <w:sz w:val="22"/>
          <w:szCs w:val="22"/>
        </w:rPr>
        <w:t xml:space="preserve">Compliance and Legal: Risks of non-compliance with legislation, NDIS Practice Standards, and registration requirements</w:t>
      </w:r>
    </w:p>
    <w:p>
      <w:pPr>
        <w:pStyle w:val="ListParagraph"/>
        <w:numPr>
          <w:ilvl w:val="0"/>
          <w:numId w:val="2"/>
        </w:numPr>
        <w:spacing w:after="80"/>
      </w:pPr>
      <w:r>
        <w:rPr>
          <w:sz w:val="22"/>
          <w:szCs w:val="22"/>
        </w:rPr>
        <w:t xml:space="preserve">Financial: Risks to financial sustainability and proper management of participant funds</w:t>
      </w:r>
    </w:p>
    <w:p>
      <w:pPr>
        <w:pStyle w:val="ListParagraph"/>
        <w:numPr>
          <w:ilvl w:val="0"/>
          <w:numId w:val="2"/>
        </w:numPr>
        <w:spacing w:after="80"/>
      </w:pPr>
      <w:r>
        <w:rPr>
          <w:sz w:val="22"/>
          <w:szCs w:val="22"/>
        </w:rPr>
        <w:t xml:space="preserve">Operational: Risks to business operations, systems, and processes</w:t>
      </w:r>
    </w:p>
    <w:p>
      <w:pPr>
        <w:pStyle w:val="ListParagraph"/>
        <w:numPr>
          <w:ilvl w:val="0"/>
          <w:numId w:val="2"/>
        </w:numPr>
        <w:spacing w:after="80"/>
      </w:pPr>
      <w:r>
        <w:rPr>
          <w:sz w:val="22"/>
          <w:szCs w:val="22"/>
        </w:rPr>
        <w:t xml:space="preserve">Reputational: Risks to the organisation's reputation and stakeholder confidence</w:t>
      </w:r>
    </w:p>
    <w:p>
      <w:pPr>
        <w:pStyle w:val="Heading2"/>
      </w:pPr>
      <w:r>
        <w:t xml:space="preserve">5.3 Risk Assessment Matrix</w:t>
      </w:r>
    </w:p>
    <w:p>
      <w:pPr>
        <w:spacing w:after="120"/>
      </w:pPr>
      <w:r>
        <w:rPr>
          <w:sz w:val="22"/>
          <w:szCs w:val="22"/>
        </w:rPr>
        <w:t xml:space="preserve">Risks are assessed using a 5x5 likelihood and consequence matrix:</w:t>
      </w:r>
    </w:p>
    <w:p>
      <w:pPr>
        <w:spacing w:after="120"/>
      </w:pPr>
      <w:r>
        <w:rPr>
          <w:sz w:val="22"/>
          <w:szCs w:val="22"/>
        </w:rPr>
        <w:t xml:space="preserve">Likelihood: Rare (1), Unlikely (2), Possible (3), Likely (4), Almost Certain (5)</w:t>
      </w:r>
    </w:p>
    <w:p>
      <w:pPr>
        <w:spacing w:after="120"/>
      </w:pPr>
      <w:r>
        <w:rPr>
          <w:sz w:val="22"/>
          <w:szCs w:val="22"/>
        </w:rPr>
        <w:t xml:space="preserve">Consequence: Insignificant (1), Minor (2), Moderate (3), Major (4), Catastrophic (5)</w:t>
      </w:r>
    </w:p>
    <w:p>
      <w:pPr>
        <w:spacing w:after="120"/>
      </w:pPr>
      <w:r>
        <w:rPr>
          <w:sz w:val="22"/>
          <w:szCs w:val="22"/>
        </w:rPr>
        <w:t xml:space="preserve">Risk Rating = Likelihood x Consequence. Ratings are classified as: Low (1-4), Medium (5-9), High (10-16), Extreme (17-25).</w:t>
      </w:r>
    </w:p>
    <w:p>
      <w:pPr>
        <w:pStyle w:val="Heading2"/>
      </w:pPr>
      <w:r>
        <w:t xml:space="preserve">5.4 Risk Treatment</w:t>
      </w:r>
    </w:p>
    <w:p>
      <w:pPr>
        <w:spacing w:after="120"/>
      </w:pPr>
      <w:r>
        <w:rPr>
          <w:sz w:val="22"/>
          <w:szCs w:val="22"/>
        </w:rPr>
        <w:t xml:space="preserve">Risk treatment strategies are selected based on the risk rating:</w:t>
      </w:r>
    </w:p>
    <w:p>
      <w:pPr>
        <w:pStyle w:val="ListParagraph"/>
        <w:numPr>
          <w:ilvl w:val="0"/>
          <w:numId w:val="2"/>
        </w:numPr>
        <w:spacing w:after="80"/>
      </w:pPr>
      <w:r>
        <w:rPr>
          <w:sz w:val="22"/>
          <w:szCs w:val="22"/>
        </w:rPr>
        <w:t xml:space="preserve">Extreme risks: Immediate action required. Escalate to Director. Implement controls within 24 hours.</w:t>
      </w:r>
    </w:p>
    <w:p>
      <w:pPr>
        <w:pStyle w:val="ListParagraph"/>
        <w:numPr>
          <w:ilvl w:val="0"/>
          <w:numId w:val="2"/>
        </w:numPr>
        <w:spacing w:after="80"/>
      </w:pPr>
      <w:r>
        <w:rPr>
          <w:sz w:val="22"/>
          <w:szCs w:val="22"/>
        </w:rPr>
        <w:t xml:space="preserve">High risks: Priority action. Develop treatment plan within 7 days. Director oversight required.</w:t>
      </w:r>
    </w:p>
    <w:p>
      <w:pPr>
        <w:pStyle w:val="ListParagraph"/>
        <w:numPr>
          <w:ilvl w:val="0"/>
          <w:numId w:val="2"/>
        </w:numPr>
        <w:spacing w:after="80"/>
      </w:pPr>
      <w:r>
        <w:rPr>
          <w:sz w:val="22"/>
          <w:szCs w:val="22"/>
        </w:rPr>
        <w:t xml:space="preserve">Medium risks: Develop treatment plan within 30 days. Monitor through regular review.</w:t>
      </w:r>
    </w:p>
    <w:p>
      <w:pPr>
        <w:pStyle w:val="ListParagraph"/>
        <w:numPr>
          <w:ilvl w:val="0"/>
          <w:numId w:val="2"/>
        </w:numPr>
        <w:spacing w:after="80"/>
      </w:pPr>
      <w:r>
        <w:rPr>
          <w:sz w:val="22"/>
          <w:szCs w:val="22"/>
        </w:rPr>
        <w:t xml:space="preserve">Low risks: Manage through routine procedures. Monitor at scheduled reviews.</w:t>
      </w:r>
    </w:p>
    <w:p>
      <w:pPr>
        <w:pStyle w:val="Heading1"/>
      </w:pPr>
      <w:r>
        <w:t xml:space="preserve">6. Procedures</w:t>
      </w:r>
    </w:p>
    <w:p>
      <w:pPr>
        <w:pStyle w:val="Heading2"/>
      </w:pPr>
      <w:r>
        <w:t xml:space="preserve">6.1 Risk Identification</w:t>
      </w:r>
    </w:p>
    <w:p>
      <w:pPr>
        <w:pStyle w:val="ListParagraph"/>
        <w:numPr>
          <w:ilvl w:val="0"/>
          <w:numId w:val="3"/>
        </w:numPr>
        <w:spacing w:after="80"/>
      </w:pPr>
      <w:r>
        <w:rPr>
          <w:sz w:val="22"/>
          <w:szCs w:val="22"/>
        </w:rPr>
        <w:t xml:space="preserve">Conduct a comprehensive risk assessment at least annually covering all risk categories.</w:t>
      </w:r>
    </w:p>
    <w:p>
      <w:pPr>
        <w:pStyle w:val="ListParagraph"/>
        <w:numPr>
          <w:ilvl w:val="0"/>
          <w:numId w:val="3"/>
        </w:numPr>
        <w:spacing w:after="80"/>
      </w:pPr>
      <w:r>
        <w:rPr>
          <w:sz w:val="22"/>
          <w:szCs w:val="22"/>
        </w:rPr>
        <w:t xml:space="preserve">Conduct specific risk assessments for new services, new participants, changes to participant needs, and environmental changes.</w:t>
      </w:r>
    </w:p>
    <w:p>
      <w:pPr>
        <w:pStyle w:val="ListParagraph"/>
        <w:numPr>
          <w:ilvl w:val="0"/>
          <w:numId w:val="3"/>
        </w:numPr>
        <w:spacing w:after="80"/>
      </w:pPr>
      <w:r>
        <w:rPr>
          <w:sz w:val="22"/>
          <w:szCs w:val="22"/>
        </w:rPr>
        <w:t xml:space="preserve">Conduct individual participant risk assessments as part of the intake and support planning process.</w:t>
      </w:r>
    </w:p>
    <w:p>
      <w:pPr>
        <w:pStyle w:val="ListParagraph"/>
        <w:numPr>
          <w:ilvl w:val="0"/>
          <w:numId w:val="3"/>
        </w:numPr>
        <w:spacing w:after="80"/>
      </w:pPr>
      <w:r>
        <w:rPr>
          <w:sz w:val="22"/>
          <w:szCs w:val="22"/>
        </w:rPr>
        <w:t xml:space="preserve">Encourage all workers to identify and report risks and hazards through the incident reporting system.</w:t>
      </w:r>
    </w:p>
    <w:p>
      <w:pPr>
        <w:pStyle w:val="ListParagraph"/>
        <w:numPr>
          <w:ilvl w:val="0"/>
          <w:numId w:val="3"/>
        </w:numPr>
        <w:spacing w:after="80"/>
      </w:pPr>
      <w:r>
        <w:rPr>
          <w:sz w:val="22"/>
          <w:szCs w:val="22"/>
        </w:rPr>
        <w:t xml:space="preserve">Review risks following any incident, complaint, or near miss.</w:t>
      </w:r>
    </w:p>
    <w:p>
      <w:pPr>
        <w:pStyle w:val="Heading2"/>
      </w:pPr>
      <w:r>
        <w:t xml:space="preserve">6.2 Risk Register Maintenance</w:t>
      </w:r>
    </w:p>
    <w:p>
      <w:pPr>
        <w:pStyle w:val="ListParagraph"/>
        <w:numPr>
          <w:ilvl w:val="0"/>
          <w:numId w:val="3"/>
        </w:numPr>
        <w:spacing w:after="80"/>
      </w:pPr>
      <w:r>
        <w:rPr>
          <w:sz w:val="22"/>
          <w:szCs w:val="22"/>
        </w:rPr>
        <w:t xml:space="preserve">All identified risks are recorded in the Risk Register with risk rating, treatment plan, responsible person, and review date.</w:t>
      </w:r>
    </w:p>
    <w:p>
      <w:pPr>
        <w:pStyle w:val="ListParagraph"/>
        <w:numPr>
          <w:ilvl w:val="0"/>
          <w:numId w:val="3"/>
        </w:numPr>
        <w:spacing w:after="80"/>
      </w:pPr>
      <w:r>
        <w:rPr>
          <w:sz w:val="22"/>
          <w:szCs w:val="22"/>
        </w:rPr>
        <w:t xml:space="preserve">The Risk Register is reviewed by the Director at least quarterly.</w:t>
      </w:r>
    </w:p>
    <w:p>
      <w:pPr>
        <w:pStyle w:val="ListParagraph"/>
        <w:numPr>
          <w:ilvl w:val="0"/>
          <w:numId w:val="3"/>
        </w:numPr>
        <w:spacing w:after="80"/>
      </w:pPr>
      <w:r>
        <w:rPr>
          <w:sz w:val="22"/>
          <w:szCs w:val="22"/>
        </w:rPr>
        <w:t xml:space="preserve">Risk treatments are monitored for effectiveness and adjusted as needed.</w:t>
      </w:r>
    </w:p>
    <w:p>
      <w:pPr>
        <w:pStyle w:val="ListParagraph"/>
        <w:numPr>
          <w:ilvl w:val="0"/>
          <w:numId w:val="3"/>
        </w:numPr>
        <w:spacing w:after="80"/>
      </w:pPr>
      <w:r>
        <w:rPr>
          <w:sz w:val="22"/>
          <w:szCs w:val="22"/>
        </w:rPr>
        <w:t xml:space="preserve">The Risk Register is a standing agenda item at team meetings.</w:t>
      </w:r>
    </w:p>
    <w:p>
      <w:pPr>
        <w:pStyle w:val="Heading2"/>
      </w:pPr>
      <w:r>
        <w:t xml:space="preserve">6.3 Participant Risk Assessment</w:t>
      </w:r>
    </w:p>
    <w:p>
      <w:pPr>
        <w:pStyle w:val="ListParagraph"/>
        <w:numPr>
          <w:ilvl w:val="0"/>
          <w:numId w:val="3"/>
        </w:numPr>
        <w:spacing w:after="80"/>
      </w:pPr>
      <w:r>
        <w:rPr>
          <w:sz w:val="22"/>
          <w:szCs w:val="22"/>
        </w:rPr>
        <w:t xml:space="preserve">An individual risk assessment is completed for each participant during intake.</w:t>
      </w:r>
    </w:p>
    <w:p>
      <w:pPr>
        <w:pStyle w:val="ListParagraph"/>
        <w:numPr>
          <w:ilvl w:val="0"/>
          <w:numId w:val="3"/>
        </w:numPr>
        <w:spacing w:after="80"/>
      </w:pPr>
      <w:r>
        <w:rPr>
          <w:sz w:val="22"/>
          <w:szCs w:val="22"/>
        </w:rPr>
        <w:t xml:space="preserve">Risk assessments consider health and safety needs, environmental factors, communication needs, and any history of risk-related events.</w:t>
      </w:r>
    </w:p>
    <w:p>
      <w:pPr>
        <w:pStyle w:val="ListParagraph"/>
        <w:numPr>
          <w:ilvl w:val="0"/>
          <w:numId w:val="3"/>
        </w:numPr>
        <w:spacing w:after="80"/>
      </w:pPr>
      <w:r>
        <w:rPr>
          <w:sz w:val="22"/>
          <w:szCs w:val="22"/>
        </w:rPr>
        <w:t xml:space="preserve">Risk assessments are reviewed whenever there is a significant change in participant circumstances or at least every 12 months.</w:t>
      </w:r>
    </w:p>
    <w:p>
      <w:pPr>
        <w:pStyle w:val="ListParagraph"/>
        <w:numPr>
          <w:ilvl w:val="0"/>
          <w:numId w:val="3"/>
        </w:numPr>
        <w:spacing w:after="80"/>
      </w:pPr>
      <w:r>
        <w:rPr>
          <w:sz w:val="22"/>
          <w:szCs w:val="22"/>
        </w:rPr>
        <w:t xml:space="preserve">Risk management strategies are documented in the participant's individual support plan.</w:t>
      </w:r>
    </w:p>
    <w:p>
      <w:pPr>
        <w:pStyle w:val="Heading1"/>
      </w:pPr>
      <w:r>
        <w:t xml:space="preserve">7. Responsibilities</w:t>
      </w:r>
    </w:p>
    <w:p>
      <w:pPr>
        <w:spacing w:after="120"/>
      </w:pPr>
      <w:r>
        <w:rPr>
          <w:b/>
          <w:bCs/>
          <w:sz w:val="22"/>
          <w:szCs w:val="22"/>
        </w:rPr>
        <w:t xml:space="preserve">Director: </w:t>
      </w:r>
      <w:r>
        <w:rPr>
          <w:sz w:val="22"/>
          <w:szCs w:val="22"/>
        </w:rPr>
        <w:t xml:space="preserve">Approve the risk management framework, review the Risk Register quarterly, ensure adequate resources for risk management, and make decisions on extreme and high-rated risks.</w:t>
      </w:r>
    </w:p>
    <w:p>
      <w:pPr>
        <w:spacing w:after="120"/>
      </w:pPr>
      <w:r>
        <w:rPr>
          <w:b/>
          <w:bCs/>
          <w:sz w:val="22"/>
          <w:szCs w:val="22"/>
        </w:rPr>
        <w:t xml:space="preserve">Workers: </w:t>
      </w:r>
      <w:r>
        <w:rPr>
          <w:sz w:val="22"/>
          <w:szCs w:val="22"/>
        </w:rPr>
        <w:t xml:space="preserve">Identify and report risks and hazards, implement risk controls relevant to their role, participate in risk assessments, and follow risk management procedures.</w:t>
      </w:r>
    </w:p>
    <w:p>
      <w:pPr>
        <w:pStyle w:val="Heading1"/>
      </w:pPr>
      <w:r>
        <w:t xml:space="preserve">8. Related Documents</w:t>
      </w:r>
    </w:p>
    <w:p>
      <w:pPr>
        <w:pStyle w:val="ListParagraph"/>
        <w:numPr>
          <w:ilvl w:val="0"/>
          <w:numId w:val="2"/>
        </w:numPr>
        <w:spacing w:after="80"/>
      </w:pPr>
      <w:r>
        <w:rPr>
          <w:sz w:val="22"/>
          <w:szCs w:val="22"/>
        </w:rPr>
        <w:t xml:space="preserve">POL-GOV-001 Governance Framework Policy</w:t>
      </w:r>
    </w:p>
    <w:p>
      <w:pPr>
        <w:pStyle w:val="ListParagraph"/>
        <w:numPr>
          <w:ilvl w:val="0"/>
          <w:numId w:val="2"/>
        </w:numPr>
        <w:spacing w:after="80"/>
      </w:pPr>
      <w:r>
        <w:rPr>
          <w:sz w:val="22"/>
          <w:szCs w:val="22"/>
        </w:rPr>
        <w:t xml:space="preserve">POL-WHS-001 Work Health and Safety Policy</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Risk Register</w:t>
      </w:r>
    </w:p>
    <w:p>
      <w:pPr>
        <w:pStyle w:val="ListParagraph"/>
        <w:numPr>
          <w:ilvl w:val="0"/>
          <w:numId w:val="2"/>
        </w:numPr>
        <w:spacing w:after="80"/>
      </w:pPr>
      <w:r>
        <w:rPr>
          <w:sz w:val="22"/>
          <w:szCs w:val="22"/>
        </w:rPr>
        <w:t xml:space="preserve">Risk Assessment Templates</w:t>
      </w:r>
    </w:p>
    <w:p>
      <w:pPr>
        <w:pStyle w:val="ListParagraph"/>
        <w:numPr>
          <w:ilvl w:val="0"/>
          <w:numId w:val="2"/>
        </w:numPr>
        <w:spacing w:after="80"/>
      </w:pPr>
      <w:r>
        <w:rPr>
          <w:sz w:val="22"/>
          <w:szCs w:val="22"/>
        </w:rPr>
        <w:t xml:space="preserve">Quality Improvement Register</w:t>
      </w:r>
    </w:p>
    <w:p>
      <w:pPr>
        <w:pStyle w:val="Heading1"/>
      </w:pPr>
      <w:r>
        <w:t xml:space="preserve">9. Review</w:t>
      </w:r>
    </w:p>
    <w:p>
      <w:pPr>
        <w:spacing w:after="120"/>
      </w:pPr>
      <w:r>
        <w:rPr>
          <w:sz w:val="22"/>
          <w:szCs w:val="22"/>
        </w:rPr>
        <w:t xml:space="preserve">This policy will be reviewed annually, or sooner if there are changes to legislation, following a significant incident, or when risk management processes require improvement.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POL-GOV-002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Risk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2026-03-11T06:52:42.845Z</dcterms:created>
  <dcterms:modified xsi:type="dcterms:W3CDTF">2026-03-11T06:52:42.845Z</dcterms:modified>
</cp:coreProperties>
</file>

<file path=docProps/custom.xml><?xml version="1.0" encoding="utf-8"?>
<Properties xmlns="http://schemas.openxmlformats.org/officeDocument/2006/custom-properties" xmlns:vt="http://schemas.openxmlformats.org/officeDocument/2006/docPropsVTypes"/>
</file>