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100"/>
      </w:pPr>
      <w:r>
        <w:rPr>
          <w:rFonts w:ascii="Arial" w:cs="Arial" w:eastAsia="Arial" w:hAnsi="Arial"/>
          <w:b/>
          <w:bCs/>
          <w:color w:val="1A9E8F"/>
          <w:sz w:val="28"/>
          <w:szCs w:val="28"/>
        </w:rPr>
        <w:t xml:space="preserve">ASINA DISABILITY SERVICES</w:t>
      </w:r>
    </w:p>
    <w:p>
      <w:pPr>
        <w:pBdr>
          <w:bottom w:val="single" w:color="1A9E8F" w:sz="6" w:space="1"/>
        </w:pBdr>
        <w:spacing w:after="400"/>
      </w:pPr>
    </w:p>
    <w:p>
      <w:pPr>
        <w:spacing w:after="200"/>
      </w:pPr>
      <w:r>
        <w:rPr>
          <w:rFonts w:ascii="Arial" w:cs="Arial" w:eastAsia="Arial" w:hAnsi="Arial"/>
          <w:b/>
          <w:bCs/>
          <w:color w:val="2D3748"/>
          <w:sz w:val="44"/>
          <w:szCs w:val="44"/>
        </w:rPr>
        <w:t xml:space="preserve">INFORMATION MANAGEMENT AND RECORD KEEPING</w:t>
      </w:r>
    </w:p>
    <w:p>
      <w:pPr>
        <w:spacing w:after="600"/>
      </w:pPr>
      <w:r>
        <w:rPr>
          <w:rFonts w:ascii="Arial" w:cs="Arial" w:eastAsia="Arial" w:hAnsi="Arial"/>
          <w:color w:val="6B7280"/>
          <w:sz w:val="28"/>
          <w:szCs w:val="28"/>
        </w:rPr>
        <w:t xml:space="preserve">Policy and Procedure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Document 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POL-GOV-005</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Version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1.0</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Effective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Review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2027</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Approved By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Director, Asina Disability Services</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Classification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Internal</w:t>
            </w:r>
          </w:p>
        </w:tc>
      </w:tr>
    </w:tbl>
    <w:p>
      <w:pPr>
        <w:spacing w:before="400"/>
      </w:pPr>
      <w:r>
        <w:rPr>
          <w:rFonts w:ascii="Arial" w:cs="Arial" w:eastAsia="Arial" w:hAnsi="Arial"/>
          <w:i/>
          <w:iCs/>
          <w:color w:val="6B7280"/>
          <w:sz w:val="20"/>
          <w:szCs w:val="20"/>
        </w:rPr>
        <w:t xml:space="preserve">CONFIDENTIAL</w:t>
      </w:r>
    </w:p>
    <w:p>
      <w:r>
        <w:rPr>
          <w:rFonts w:ascii="Arial" w:cs="Arial" w:eastAsia="Arial" w:hAnsi="Arial"/>
          <w:i/>
          <w:iCs/>
          <w:color w:val="6B7280"/>
          <w:sz w:val="18"/>
          <w:szCs w:val="18"/>
        </w:rPr>
        <w:t xml:space="preserve">This document is the property of Asina Disability Services. Unauthorised reproduction or distribution is prohibited.</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w:t>
      </w:r>
    </w:p>
    <w:p>
      <w:pPr>
        <w:spacing w:after="120"/>
      </w:pPr>
      <w:r>
        <w:rPr>
          <w:sz w:val="22"/>
          <w:szCs w:val="22"/>
        </w:rPr>
        <w:t xml:space="preserve">This policy establishes the framework for managing information and records at Asina Disability Services. It ensures that participant, worker, and organisational information is collected, stored, used, disclosed, and disposed of in compliance with Australian privacy legislation and the NDIS Practice Standards.</w:t>
      </w:r>
    </w:p>
    <w:p>
      <w:pPr>
        <w:pStyle w:val="Heading1"/>
      </w:pPr>
      <w:r>
        <w:t xml:space="preserve">2. Scope</w:t>
      </w:r>
    </w:p>
    <w:p>
      <w:pPr>
        <w:spacing w:after="120"/>
      </w:pPr>
      <w:r>
        <w:rPr>
          <w:sz w:val="22"/>
          <w:szCs w:val="22"/>
        </w:rPr>
        <w:t xml:space="preserve">This policy applies to all workers and covers all information and records held by Asina Disability Services, whether in physical or electronic format. This includes participant records, worker records, financial records, operational records, and all other organisational documentation.</w:t>
      </w:r>
    </w:p>
    <w:p>
      <w:pPr>
        <w:pStyle w:val="Heading1"/>
      </w:pPr>
      <w:r>
        <w:t xml:space="preserve">3. Legislative and Standards Framework</w:t>
      </w:r>
    </w:p>
    <w:p>
      <w:pPr>
        <w:pStyle w:val="ListParagraph"/>
        <w:numPr>
          <w:ilvl w:val="0"/>
          <w:numId w:val="2"/>
        </w:numPr>
        <w:spacing w:after="80"/>
      </w:pPr>
      <w:r>
        <w:rPr>
          <w:sz w:val="22"/>
          <w:szCs w:val="22"/>
        </w:rPr>
        <w:t xml:space="preserve">Privacy Act 1988 (Cth) and Australian Privacy Principles (APPs)</w:t>
      </w:r>
    </w:p>
    <w:p>
      <w:pPr>
        <w:pStyle w:val="ListParagraph"/>
        <w:numPr>
          <w:ilvl w:val="0"/>
          <w:numId w:val="2"/>
        </w:numPr>
        <w:spacing w:after="80"/>
      </w:pPr>
      <w:r>
        <w:rPr>
          <w:sz w:val="22"/>
          <w:szCs w:val="22"/>
        </w:rPr>
        <w:t xml:space="preserve">NDIS Practice Standards - Core Module: Information Management</w:t>
      </w:r>
    </w:p>
    <w:p>
      <w:pPr>
        <w:pStyle w:val="ListParagraph"/>
        <w:numPr>
          <w:ilvl w:val="0"/>
          <w:numId w:val="2"/>
        </w:numPr>
        <w:spacing w:after="80"/>
      </w:pPr>
      <w:r>
        <w:rPr>
          <w:sz w:val="22"/>
          <w:szCs w:val="22"/>
        </w:rPr>
        <w:t xml:space="preserve">NDIS Act 2013 (Cth)</w:t>
      </w:r>
    </w:p>
    <w:p>
      <w:pPr>
        <w:pStyle w:val="ListParagraph"/>
        <w:numPr>
          <w:ilvl w:val="0"/>
          <w:numId w:val="2"/>
        </w:numPr>
        <w:spacing w:after="80"/>
      </w:pPr>
      <w:r>
        <w:rPr>
          <w:sz w:val="22"/>
          <w:szCs w:val="22"/>
        </w:rPr>
        <w:t xml:space="preserve">Health Records and Information Privacy Act 2002 (NSW)</w:t>
      </w:r>
    </w:p>
    <w:p>
      <w:pPr>
        <w:pStyle w:val="ListParagraph"/>
        <w:numPr>
          <w:ilvl w:val="0"/>
          <w:numId w:val="2"/>
        </w:numPr>
        <w:spacing w:after="80"/>
      </w:pPr>
      <w:r>
        <w:rPr>
          <w:sz w:val="22"/>
          <w:szCs w:val="22"/>
        </w:rPr>
        <w:t xml:space="preserve">State Records Act 1998 (NSW)</w:t>
      </w:r>
    </w:p>
    <w:p>
      <w:pPr>
        <w:pStyle w:val="ListParagraph"/>
        <w:numPr>
          <w:ilvl w:val="0"/>
          <w:numId w:val="2"/>
        </w:numPr>
        <w:spacing w:after="80"/>
      </w:pPr>
      <w:r>
        <w:rPr>
          <w:sz w:val="22"/>
          <w:szCs w:val="22"/>
        </w:rPr>
        <w:t xml:space="preserve">NDIS Code of Conduct</w:t>
      </w:r>
    </w:p>
    <w:p>
      <w:pPr>
        <w:pStyle w:val="Heading1"/>
      </w:pPr>
      <w:r>
        <w:t xml:space="preserve">4. Policy Statement</w:t>
      </w:r>
    </w:p>
    <w:p>
      <w:pPr>
        <w:pStyle w:val="Heading2"/>
      </w:pPr>
      <w:r>
        <w:t xml:space="preserve">4.1 Information Collection</w:t>
      </w:r>
    </w:p>
    <w:p>
      <w:pPr>
        <w:spacing w:after="120"/>
      </w:pPr>
      <w:r>
        <w:rPr>
          <w:sz w:val="22"/>
          <w:szCs w:val="22"/>
        </w:rPr>
        <w:t xml:space="preserve">Asina Disability Services collects only information that is necessary and relevant to the delivery of supports and management of the organisation. When collecting personal information:</w:t>
      </w:r>
    </w:p>
    <w:p>
      <w:pPr>
        <w:pStyle w:val="ListParagraph"/>
        <w:numPr>
          <w:ilvl w:val="0"/>
          <w:numId w:val="2"/>
        </w:numPr>
        <w:spacing w:after="80"/>
      </w:pPr>
      <w:r>
        <w:rPr>
          <w:sz w:val="22"/>
          <w:szCs w:val="22"/>
        </w:rPr>
        <w:t xml:space="preserve">The purpose of collection is explained to the individual</w:t>
      </w:r>
    </w:p>
    <w:p>
      <w:pPr>
        <w:pStyle w:val="ListParagraph"/>
        <w:numPr>
          <w:ilvl w:val="0"/>
          <w:numId w:val="2"/>
        </w:numPr>
        <w:spacing w:after="80"/>
      </w:pPr>
      <w:r>
        <w:rPr>
          <w:sz w:val="22"/>
          <w:szCs w:val="22"/>
        </w:rPr>
        <w:t xml:space="preserve">Consent is obtained before collecting sensitive information</w:t>
      </w:r>
    </w:p>
    <w:p>
      <w:pPr>
        <w:pStyle w:val="ListParagraph"/>
        <w:numPr>
          <w:ilvl w:val="0"/>
          <w:numId w:val="2"/>
        </w:numPr>
        <w:spacing w:after="80"/>
      </w:pPr>
      <w:r>
        <w:rPr>
          <w:sz w:val="22"/>
          <w:szCs w:val="22"/>
        </w:rPr>
        <w:t xml:space="preserve">Information is collected from the individual directly where possible</w:t>
      </w:r>
    </w:p>
    <w:p>
      <w:pPr>
        <w:pStyle w:val="ListParagraph"/>
        <w:numPr>
          <w:ilvl w:val="0"/>
          <w:numId w:val="2"/>
        </w:numPr>
        <w:spacing w:after="80"/>
      </w:pPr>
      <w:r>
        <w:rPr>
          <w:sz w:val="22"/>
          <w:szCs w:val="22"/>
        </w:rPr>
        <w:t xml:space="preserve">Collection methods are lawful and fair</w:t>
      </w:r>
    </w:p>
    <w:p>
      <w:pPr>
        <w:pStyle w:val="Heading2"/>
      </w:pPr>
      <w:r>
        <w:t xml:space="preserve">4.2 Information Storage and Security</w:t>
      </w:r>
    </w:p>
    <w:p>
      <w:pPr>
        <w:spacing w:after="120"/>
      </w:pPr>
      <w:r>
        <w:rPr>
          <w:sz w:val="22"/>
          <w:szCs w:val="22"/>
        </w:rPr>
        <w:t xml:space="preserve">All records are stored securely with appropriate access controls:</w:t>
      </w:r>
    </w:p>
    <w:p>
      <w:pPr>
        <w:pStyle w:val="ListParagraph"/>
        <w:numPr>
          <w:ilvl w:val="0"/>
          <w:numId w:val="2"/>
        </w:numPr>
        <w:spacing w:after="80"/>
      </w:pPr>
      <w:r>
        <w:rPr>
          <w:sz w:val="22"/>
          <w:szCs w:val="22"/>
        </w:rPr>
        <w:t xml:space="preserve">Electronic records are stored in password-protected systems with regular backups</w:t>
      </w:r>
    </w:p>
    <w:p>
      <w:pPr>
        <w:pStyle w:val="ListParagraph"/>
        <w:numPr>
          <w:ilvl w:val="0"/>
          <w:numId w:val="2"/>
        </w:numPr>
        <w:spacing w:after="80"/>
      </w:pPr>
      <w:r>
        <w:rPr>
          <w:sz w:val="22"/>
          <w:szCs w:val="22"/>
        </w:rPr>
        <w:t xml:space="preserve">Physical records are stored in locked filing cabinets in secure areas</w:t>
      </w:r>
    </w:p>
    <w:p>
      <w:pPr>
        <w:pStyle w:val="ListParagraph"/>
        <w:numPr>
          <w:ilvl w:val="0"/>
          <w:numId w:val="2"/>
        </w:numPr>
        <w:spacing w:after="80"/>
      </w:pPr>
      <w:r>
        <w:rPr>
          <w:sz w:val="22"/>
          <w:szCs w:val="22"/>
        </w:rPr>
        <w:t xml:space="preserve">Access to records is limited to authorised personnel on a need-to-know basis</w:t>
      </w:r>
    </w:p>
    <w:p>
      <w:pPr>
        <w:pStyle w:val="ListParagraph"/>
        <w:numPr>
          <w:ilvl w:val="0"/>
          <w:numId w:val="2"/>
        </w:numPr>
        <w:spacing w:after="80"/>
      </w:pPr>
      <w:r>
        <w:rPr>
          <w:sz w:val="22"/>
          <w:szCs w:val="22"/>
        </w:rPr>
        <w:t xml:space="preserve">Participant records are maintained separately from worker records</w:t>
      </w:r>
    </w:p>
    <w:p>
      <w:pPr>
        <w:pStyle w:val="ListParagraph"/>
        <w:numPr>
          <w:ilvl w:val="0"/>
          <w:numId w:val="2"/>
        </w:numPr>
        <w:spacing w:after="80"/>
      </w:pPr>
      <w:r>
        <w:rPr>
          <w:sz w:val="22"/>
          <w:szCs w:val="22"/>
        </w:rPr>
        <w:t xml:space="preserve">An information asset register is maintained identifying what information is held, where, and who has access</w:t>
      </w:r>
    </w:p>
    <w:p>
      <w:pPr>
        <w:pStyle w:val="Heading2"/>
      </w:pPr>
      <w:r>
        <w:t xml:space="preserve">4.3 Information Use and Disclosure</w:t>
      </w:r>
    </w:p>
    <w:p>
      <w:pPr>
        <w:spacing w:after="120"/>
      </w:pPr>
      <w:r>
        <w:rPr>
          <w:sz w:val="22"/>
          <w:szCs w:val="22"/>
        </w:rPr>
        <w:t xml:space="preserve">Personal information is only used or disclosed for the purpose for which it was collected, or a directly related secondary purpose, unless:</w:t>
      </w:r>
    </w:p>
    <w:p>
      <w:pPr>
        <w:pStyle w:val="ListParagraph"/>
        <w:numPr>
          <w:ilvl w:val="0"/>
          <w:numId w:val="2"/>
        </w:numPr>
        <w:spacing w:after="80"/>
      </w:pPr>
      <w:r>
        <w:rPr>
          <w:sz w:val="22"/>
          <w:szCs w:val="22"/>
        </w:rPr>
        <w:t xml:space="preserve">The individual has consented to the use or disclosure</w:t>
      </w:r>
    </w:p>
    <w:p>
      <w:pPr>
        <w:pStyle w:val="ListParagraph"/>
        <w:numPr>
          <w:ilvl w:val="0"/>
          <w:numId w:val="2"/>
        </w:numPr>
        <w:spacing w:after="80"/>
      </w:pPr>
      <w:r>
        <w:rPr>
          <w:sz w:val="22"/>
          <w:szCs w:val="22"/>
        </w:rPr>
        <w:t xml:space="preserve">The use or disclosure is required or authorised by law (e.g., mandatory reporting of reportable incidents to the NDIS Commission)</w:t>
      </w:r>
    </w:p>
    <w:p>
      <w:pPr>
        <w:pStyle w:val="ListParagraph"/>
        <w:numPr>
          <w:ilvl w:val="0"/>
          <w:numId w:val="2"/>
        </w:numPr>
        <w:spacing w:after="80"/>
      </w:pPr>
      <w:r>
        <w:rPr>
          <w:sz w:val="22"/>
          <w:szCs w:val="22"/>
        </w:rPr>
        <w:t xml:space="preserve">The use or disclosure is necessary to prevent a serious threat to life, health, or safety</w:t>
      </w:r>
    </w:p>
    <w:p>
      <w:pPr>
        <w:pStyle w:val="Heading2"/>
      </w:pPr>
      <w:r>
        <w:t xml:space="preserve">4.4 Participant Access to Records</w:t>
      </w:r>
    </w:p>
    <w:p>
      <w:pPr>
        <w:spacing w:after="120"/>
      </w:pPr>
      <w:r>
        <w:rPr>
          <w:sz w:val="22"/>
          <w:szCs w:val="22"/>
        </w:rPr>
        <w:t xml:space="preserve">Participants have the right to access their records. Asina Disability Services will:</w:t>
      </w:r>
    </w:p>
    <w:p>
      <w:pPr>
        <w:pStyle w:val="ListParagraph"/>
        <w:numPr>
          <w:ilvl w:val="0"/>
          <w:numId w:val="2"/>
        </w:numPr>
        <w:spacing w:after="80"/>
      </w:pPr>
      <w:r>
        <w:rPr>
          <w:sz w:val="22"/>
          <w:szCs w:val="22"/>
        </w:rPr>
        <w:t xml:space="preserve">Provide participants access to their records upon request within 30 days</w:t>
      </w:r>
    </w:p>
    <w:p>
      <w:pPr>
        <w:pStyle w:val="ListParagraph"/>
        <w:numPr>
          <w:ilvl w:val="0"/>
          <w:numId w:val="2"/>
        </w:numPr>
        <w:spacing w:after="80"/>
      </w:pPr>
      <w:r>
        <w:rPr>
          <w:sz w:val="22"/>
          <w:szCs w:val="22"/>
        </w:rPr>
        <w:t xml:space="preserve">Allow participants to request correction of inaccurate information</w:t>
      </w:r>
    </w:p>
    <w:p>
      <w:pPr>
        <w:pStyle w:val="ListParagraph"/>
        <w:numPr>
          <w:ilvl w:val="0"/>
          <w:numId w:val="2"/>
        </w:numPr>
        <w:spacing w:after="80"/>
      </w:pPr>
      <w:r>
        <w:rPr>
          <w:sz w:val="22"/>
          <w:szCs w:val="22"/>
        </w:rPr>
        <w:t xml:space="preserve">Provide information in a format accessible to the participant</w:t>
      </w:r>
    </w:p>
    <w:p>
      <w:pPr>
        <w:pStyle w:val="ListParagraph"/>
        <w:numPr>
          <w:ilvl w:val="0"/>
          <w:numId w:val="2"/>
        </w:numPr>
        <w:spacing w:after="80"/>
      </w:pPr>
      <w:r>
        <w:rPr>
          <w:sz w:val="22"/>
          <w:szCs w:val="22"/>
        </w:rPr>
        <w:t xml:space="preserve">Support participants to understand their records through appropriate communication methods</w:t>
      </w:r>
    </w:p>
    <w:p>
      <w:pPr>
        <w:pStyle w:val="Heading2"/>
      </w:pPr>
      <w:r>
        <w:t xml:space="preserve">4.5 Record Retention and Disposal</w:t>
      </w:r>
    </w:p>
    <w:p>
      <w:pPr>
        <w:spacing w:after="120"/>
      </w:pPr>
      <w:r>
        <w:rPr>
          <w:sz w:val="22"/>
          <w:szCs w:val="22"/>
        </w:rPr>
        <w:t xml:space="preserve">Records are retained in accordance with legal requirements:</w:t>
      </w:r>
    </w:p>
    <w:p>
      <w:pPr>
        <w:pStyle w:val="ListParagraph"/>
        <w:numPr>
          <w:ilvl w:val="0"/>
          <w:numId w:val="2"/>
        </w:numPr>
        <w:spacing w:after="80"/>
      </w:pPr>
      <w:r>
        <w:rPr>
          <w:sz w:val="22"/>
          <w:szCs w:val="22"/>
        </w:rPr>
        <w:t xml:space="preserve">Participant records: Minimum 7 years after the last service, or until the participant turns 25 if a child</w:t>
      </w:r>
    </w:p>
    <w:p>
      <w:pPr>
        <w:pStyle w:val="ListParagraph"/>
        <w:numPr>
          <w:ilvl w:val="0"/>
          <w:numId w:val="2"/>
        </w:numPr>
        <w:spacing w:after="80"/>
      </w:pPr>
      <w:r>
        <w:rPr>
          <w:sz w:val="22"/>
          <w:szCs w:val="22"/>
        </w:rPr>
        <w:t xml:space="preserve">Worker records: Minimum 7 years after employment ends</w:t>
      </w:r>
    </w:p>
    <w:p>
      <w:pPr>
        <w:pStyle w:val="ListParagraph"/>
        <w:numPr>
          <w:ilvl w:val="0"/>
          <w:numId w:val="2"/>
        </w:numPr>
        <w:spacing w:after="80"/>
      </w:pPr>
      <w:r>
        <w:rPr>
          <w:sz w:val="22"/>
          <w:szCs w:val="22"/>
        </w:rPr>
        <w:t xml:space="preserve">Financial records: Minimum 7 years</w:t>
      </w:r>
    </w:p>
    <w:p>
      <w:pPr>
        <w:pStyle w:val="ListParagraph"/>
        <w:numPr>
          <w:ilvl w:val="0"/>
          <w:numId w:val="2"/>
        </w:numPr>
        <w:spacing w:after="80"/>
      </w:pPr>
      <w:r>
        <w:rPr>
          <w:sz w:val="22"/>
          <w:szCs w:val="22"/>
        </w:rPr>
        <w:t xml:space="preserve">Incident records: Minimum 7 years</w:t>
      </w:r>
    </w:p>
    <w:p>
      <w:pPr>
        <w:pStyle w:val="ListParagraph"/>
        <w:numPr>
          <w:ilvl w:val="0"/>
          <w:numId w:val="2"/>
        </w:numPr>
        <w:spacing w:after="80"/>
      </w:pPr>
      <w:r>
        <w:rPr>
          <w:sz w:val="22"/>
          <w:szCs w:val="22"/>
        </w:rPr>
        <w:t xml:space="preserve">Records are disposed of securely (shredding for physical records, secure deletion for electronic records)</w:t>
      </w:r>
    </w:p>
    <w:p>
      <w:pPr>
        <w:pStyle w:val="Heading2"/>
      </w:pPr>
      <w:r>
        <w:t xml:space="preserve">4.6 Data Breach Response</w:t>
      </w:r>
    </w:p>
    <w:p>
      <w:pPr>
        <w:spacing w:after="120"/>
      </w:pPr>
      <w:r>
        <w:rPr>
          <w:sz w:val="22"/>
          <w:szCs w:val="22"/>
        </w:rPr>
        <w:t xml:space="preserve">In the event of a data breach, Asina Disability Services will:</w:t>
      </w:r>
    </w:p>
    <w:p>
      <w:pPr>
        <w:pStyle w:val="ListParagraph"/>
        <w:numPr>
          <w:ilvl w:val="0"/>
          <w:numId w:val="3"/>
        </w:numPr>
        <w:spacing w:after="80"/>
      </w:pPr>
      <w:r>
        <w:rPr>
          <w:sz w:val="22"/>
          <w:szCs w:val="22"/>
        </w:rPr>
        <w:t xml:space="preserve">Contain the breach and take immediate steps to limit further exposure</w:t>
      </w:r>
    </w:p>
    <w:p>
      <w:pPr>
        <w:pStyle w:val="ListParagraph"/>
        <w:numPr>
          <w:ilvl w:val="0"/>
          <w:numId w:val="3"/>
        </w:numPr>
        <w:spacing w:after="80"/>
      </w:pPr>
      <w:r>
        <w:rPr>
          <w:sz w:val="22"/>
          <w:szCs w:val="22"/>
        </w:rPr>
        <w:t xml:space="preserve">Assess the breach to determine severity and who is affected</w:t>
      </w:r>
    </w:p>
    <w:p>
      <w:pPr>
        <w:pStyle w:val="ListParagraph"/>
        <w:numPr>
          <w:ilvl w:val="0"/>
          <w:numId w:val="3"/>
        </w:numPr>
        <w:spacing w:after="80"/>
      </w:pPr>
      <w:r>
        <w:rPr>
          <w:sz w:val="22"/>
          <w:szCs w:val="22"/>
        </w:rPr>
        <w:t xml:space="preserve">Notify affected individuals and the Office of the Australian Information Commissioner (OAIC) if the breach is likely to result in serious harm</w:t>
      </w:r>
    </w:p>
    <w:p>
      <w:pPr>
        <w:pStyle w:val="ListParagraph"/>
        <w:numPr>
          <w:ilvl w:val="0"/>
          <w:numId w:val="3"/>
        </w:numPr>
        <w:spacing w:after="80"/>
      </w:pPr>
      <w:r>
        <w:rPr>
          <w:sz w:val="22"/>
          <w:szCs w:val="22"/>
        </w:rPr>
        <w:t xml:space="preserve">Review and improve security measures to prevent recurrence</w:t>
      </w:r>
    </w:p>
    <w:p>
      <w:pPr>
        <w:pStyle w:val="Heading1"/>
      </w:pPr>
      <w:r>
        <w:t xml:space="preserve">5. Responsibilities</w:t>
      </w:r>
    </w:p>
    <w:p>
      <w:pPr>
        <w:spacing w:after="120"/>
      </w:pPr>
      <w:r>
        <w:rPr>
          <w:b/>
          <w:bCs/>
          <w:sz w:val="22"/>
          <w:szCs w:val="22"/>
        </w:rPr>
        <w:t xml:space="preserve">Director: </w:t>
      </w:r>
      <w:r>
        <w:rPr>
          <w:sz w:val="22"/>
          <w:szCs w:val="22"/>
        </w:rPr>
        <w:t xml:space="preserve">Ensure information management systems are adequate and compliant, approve information policies, respond to access requests and data breach events.</w:t>
      </w:r>
    </w:p>
    <w:p>
      <w:pPr>
        <w:spacing w:after="120"/>
      </w:pPr>
      <w:r>
        <w:rPr>
          <w:b/>
          <w:bCs/>
          <w:sz w:val="22"/>
          <w:szCs w:val="22"/>
        </w:rPr>
        <w:t xml:space="preserve">Workers: </w:t>
      </w:r>
      <w:r>
        <w:rPr>
          <w:sz w:val="22"/>
          <w:szCs w:val="22"/>
        </w:rPr>
        <w:t xml:space="preserve">Handle information in accordance with this policy, maintain accurate and timely records, report any suspected data breaches immediately.</w:t>
      </w:r>
    </w:p>
    <w:p>
      <w:pPr>
        <w:pStyle w:val="Heading1"/>
      </w:pPr>
      <w:r>
        <w:t xml:space="preserve">6. Related Documents</w:t>
      </w:r>
    </w:p>
    <w:p>
      <w:pPr>
        <w:pStyle w:val="ListParagraph"/>
        <w:numPr>
          <w:ilvl w:val="0"/>
          <w:numId w:val="2"/>
        </w:numPr>
        <w:spacing w:after="80"/>
      </w:pPr>
      <w:r>
        <w:rPr>
          <w:sz w:val="22"/>
          <w:szCs w:val="22"/>
        </w:rPr>
        <w:t xml:space="preserve">POL-GOV-001 Governance Framework Policy</w:t>
      </w:r>
    </w:p>
    <w:p>
      <w:pPr>
        <w:pStyle w:val="ListParagraph"/>
        <w:numPr>
          <w:ilvl w:val="0"/>
          <w:numId w:val="2"/>
        </w:numPr>
        <w:spacing w:after="80"/>
      </w:pPr>
      <w:r>
        <w:rPr>
          <w:sz w:val="22"/>
          <w:szCs w:val="22"/>
        </w:rPr>
        <w:t xml:space="preserve">POL-RS-002 Privacy and Confidentiality Policy (included in Rights and Safeguards)</w:t>
      </w:r>
    </w:p>
    <w:p>
      <w:pPr>
        <w:pStyle w:val="ListParagraph"/>
        <w:numPr>
          <w:ilvl w:val="0"/>
          <w:numId w:val="2"/>
        </w:numPr>
        <w:spacing w:after="80"/>
      </w:pPr>
      <w:r>
        <w:rPr>
          <w:sz w:val="22"/>
          <w:szCs w:val="22"/>
        </w:rPr>
        <w:t xml:space="preserve">POL-INC-001 Incident Management Policy</w:t>
      </w:r>
    </w:p>
    <w:p>
      <w:pPr>
        <w:pStyle w:val="ListParagraph"/>
        <w:numPr>
          <w:ilvl w:val="0"/>
          <w:numId w:val="2"/>
        </w:numPr>
        <w:spacing w:after="80"/>
      </w:pPr>
      <w:r>
        <w:rPr>
          <w:sz w:val="22"/>
          <w:szCs w:val="22"/>
        </w:rPr>
        <w:t xml:space="preserve">Privacy Collection Notice</w:t>
      </w:r>
    </w:p>
    <w:p>
      <w:pPr>
        <w:pStyle w:val="ListParagraph"/>
        <w:numPr>
          <w:ilvl w:val="0"/>
          <w:numId w:val="2"/>
        </w:numPr>
        <w:spacing w:after="80"/>
      </w:pPr>
      <w:r>
        <w:rPr>
          <w:sz w:val="22"/>
          <w:szCs w:val="22"/>
        </w:rPr>
        <w:t xml:space="preserve">Consent Forms</w:t>
      </w:r>
    </w:p>
    <w:p>
      <w:pPr>
        <w:pStyle w:val="ListParagraph"/>
        <w:numPr>
          <w:ilvl w:val="0"/>
          <w:numId w:val="2"/>
        </w:numPr>
        <w:spacing w:after="80"/>
      </w:pPr>
      <w:r>
        <w:rPr>
          <w:sz w:val="22"/>
          <w:szCs w:val="22"/>
        </w:rPr>
        <w:t xml:space="preserve">Data Breach Response Plan</w:t>
      </w:r>
    </w:p>
    <w:p>
      <w:pPr>
        <w:pStyle w:val="Heading1"/>
      </w:pPr>
      <w:r>
        <w:t xml:space="preserve">7. Review</w:t>
      </w:r>
    </w:p>
    <w:p>
      <w:pPr>
        <w:spacing w:after="120"/>
      </w:pPr>
      <w:r>
        <w:rPr>
          <w:sz w:val="22"/>
          <w:szCs w:val="22"/>
        </w:rPr>
        <w:t xml:space="preserve">This policy will be reviewed annually or sooner following a data breach, changes to privacy legislation, or feedback indicating the need for revision. The next scheduled review date is March 2027.</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B7280"/>
        <w:sz w:val="16"/>
        <w:szCs w:val="16"/>
      </w:rPr>
      <w:t xml:space="preserve">POL-GOV-005  |  Version 1.0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9E8F" w:sz="4" w:space="4"/>
      </w:pBdr>
      <w:spacing w:after="200"/>
    </w:pPr>
    <w:r>
      <w:rPr>
        <w:rFonts w:ascii="Arial" w:cs="Arial" w:eastAsia="Arial" w:hAnsi="Arial"/>
        <w:b/>
        <w:bCs/>
        <w:color w:val="1A9E8F"/>
        <w:sz w:val="16"/>
        <w:szCs w:val="16"/>
      </w:rPr>
      <w:t xml:space="preserve">Asina Disability Services</w:t>
    </w:r>
    <w:r>
      <w:rPr>
        <w:rFonts w:ascii="Arial" w:cs="Arial" w:eastAsia="Arial" w:hAnsi="Arial"/>
        <w:color w:val="6B7280"/>
        <w:sz w:val="16"/>
        <w:szCs w:val="16"/>
      </w:rPr>
      <w:t xml:space="preserve">  |  </w:t>
    </w:r>
    <w:r>
      <w:rPr>
        <w:rFonts w:ascii="Arial" w:cs="Arial" w:eastAsia="Arial" w:hAnsi="Arial"/>
        <w:color w:val="6B7280"/>
        <w:sz w:val="16"/>
        <w:szCs w:val="16"/>
      </w:rPr>
      <w:t xml:space="preserve">Information Management and Record Keeping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9E8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374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9E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2026-03-11T06:52:42.926Z</dcterms:created>
  <dcterms:modified xsi:type="dcterms:W3CDTF">2026-03-11T06:52:42.926Z</dcterms:modified>
</cp:coreProperties>
</file>

<file path=docProps/custom.xml><?xml version="1.0" encoding="utf-8"?>
<Properties xmlns="http://schemas.openxmlformats.org/officeDocument/2006/custom-properties" xmlns:vt="http://schemas.openxmlformats.org/officeDocument/2006/docPropsVTypes"/>
</file>