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WHISTLEBLOWER PROTECTION</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POL-GOV-006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Asina Disability Services' commitment to protecting individuals who report wrongdoing, misconduct, or concerns about unethical behaviour. It ensures that disclosures are handled confidentially and that whistleblowers are protected from reprisal, in accordance with Australian whistleblower protection legislation.</w:t>
      </w:r>
    </w:p>
    <w:p>
      <w:pPr>
        <w:pStyle w:val="Heading1"/>
      </w:pPr>
      <w:r>
        <w:t xml:space="preserve">2. Scope</w:t>
      </w:r>
    </w:p>
    <w:p>
      <w:pPr>
        <w:spacing w:after="120"/>
      </w:pPr>
      <w:r>
        <w:rPr>
          <w:sz w:val="22"/>
          <w:szCs w:val="22"/>
        </w:rPr>
        <w:t xml:space="preserve">This policy applies to all current and former workers, contractors, suppliers, associates, and their relatives or dependants who make or may make a disclosure about misconduct or improper conduct within or by Asina Disability Services.</w:t>
      </w:r>
    </w:p>
    <w:p>
      <w:pPr>
        <w:pStyle w:val="Heading1"/>
      </w:pPr>
      <w:r>
        <w:t xml:space="preserve">3. Legislative and Standards Framework</w:t>
      </w:r>
    </w:p>
    <w:p>
      <w:pPr>
        <w:pStyle w:val="ListParagraph"/>
        <w:numPr>
          <w:ilvl w:val="0"/>
          <w:numId w:val="2"/>
        </w:numPr>
        <w:spacing w:after="80"/>
      </w:pPr>
      <w:r>
        <w:rPr>
          <w:sz w:val="22"/>
          <w:szCs w:val="22"/>
        </w:rPr>
        <w:t xml:space="preserve">Corporations Act 2001 (Cth) - Part 9.4AAA (Whistleblower Protections)</w:t>
      </w:r>
    </w:p>
    <w:p>
      <w:pPr>
        <w:pStyle w:val="ListParagraph"/>
        <w:numPr>
          <w:ilvl w:val="0"/>
          <w:numId w:val="2"/>
        </w:numPr>
        <w:spacing w:after="80"/>
      </w:pPr>
      <w:r>
        <w:rPr>
          <w:sz w:val="22"/>
          <w:szCs w:val="22"/>
        </w:rPr>
        <w:t xml:space="preserve">Taxation Administration Act 1953 (Cth) - Division 386</w:t>
      </w:r>
    </w:p>
    <w:p>
      <w:pPr>
        <w:pStyle w:val="ListParagraph"/>
        <w:numPr>
          <w:ilvl w:val="0"/>
          <w:numId w:val="2"/>
        </w:numPr>
        <w:spacing w:after="80"/>
      </w:pPr>
      <w:r>
        <w:rPr>
          <w:sz w:val="22"/>
          <w:szCs w:val="22"/>
        </w:rPr>
        <w:t xml:space="preserve">Public Interest Disclosures Act 2022 (NSW)</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Fair Work Act 2009 (Cth)</w:t>
      </w:r>
    </w:p>
    <w:p>
      <w:pPr>
        <w:pStyle w:val="Heading1"/>
      </w:pPr>
      <w:r>
        <w:t xml:space="preserve">4. Definitions</w:t>
      </w:r>
    </w:p>
    <w:p>
      <w:pPr>
        <w:spacing w:after="120"/>
      </w:pPr>
      <w:r>
        <w:rPr>
          <w:b/>
          <w:bCs/>
          <w:sz w:val="22"/>
          <w:szCs w:val="22"/>
        </w:rPr>
        <w:t xml:space="preserve">Disclosable Matter: </w:t>
      </w:r>
      <w:r>
        <w:rPr>
          <w:sz w:val="22"/>
          <w:szCs w:val="22"/>
        </w:rPr>
        <w:t xml:space="preserve">Information about misconduct or an improper state of affairs or circumstances in relation to Asina Disability Services or its workers, including but not limited to: illegal activity, fraud, corruption, financial irregularities, negligence, serious risk to participant safety, breaches of the NDIS Code of Conduct, harassment or discrimination, and danger to the environment.</w:t>
      </w:r>
    </w:p>
    <w:p>
      <w:pPr>
        <w:spacing w:after="120"/>
      </w:pPr>
      <w:r>
        <w:rPr>
          <w:b/>
          <w:bCs/>
          <w:sz w:val="22"/>
          <w:szCs w:val="22"/>
        </w:rPr>
        <w:t xml:space="preserve">Whistleblower: </w:t>
      </w:r>
      <w:r>
        <w:rPr>
          <w:sz w:val="22"/>
          <w:szCs w:val="22"/>
        </w:rPr>
        <w:t xml:space="preserve">A person who makes a disclosure of a disclosable matter to an eligible recipient.</w:t>
      </w:r>
    </w:p>
    <w:p>
      <w:pPr>
        <w:spacing w:after="120"/>
      </w:pPr>
      <w:r>
        <w:rPr>
          <w:b/>
          <w:bCs/>
          <w:sz w:val="22"/>
          <w:szCs w:val="22"/>
        </w:rPr>
        <w:t xml:space="preserve">Eligible Recipient: </w:t>
      </w:r>
      <w:r>
        <w:rPr>
          <w:sz w:val="22"/>
          <w:szCs w:val="22"/>
        </w:rPr>
        <w:t xml:space="preserve">A person authorised to receive a disclosure, including the Director, senior management, the NDIS Commission, ASIC, APRA, the ATO, or a legal practitioner.</w:t>
      </w:r>
    </w:p>
    <w:p>
      <w:pPr>
        <w:pStyle w:val="Heading1"/>
      </w:pPr>
      <w:r>
        <w:t xml:space="preserve">5. Policy Statement</w:t>
      </w:r>
    </w:p>
    <w:p>
      <w:pPr>
        <w:pStyle w:val="Heading2"/>
      </w:pPr>
      <w:r>
        <w:t xml:space="preserve">5.1 Encouragement of Reporting</w:t>
      </w:r>
    </w:p>
    <w:p>
      <w:pPr>
        <w:spacing w:after="120"/>
      </w:pPr>
      <w:r>
        <w:rPr>
          <w:sz w:val="22"/>
          <w:szCs w:val="22"/>
        </w:rPr>
        <w:t xml:space="preserve">Asina Disability Services encourages all workers and stakeholders to report any concerns about wrongdoing. The organisation:</w:t>
      </w:r>
    </w:p>
    <w:p>
      <w:pPr>
        <w:pStyle w:val="ListParagraph"/>
        <w:numPr>
          <w:ilvl w:val="0"/>
          <w:numId w:val="2"/>
        </w:numPr>
        <w:spacing w:after="80"/>
      </w:pPr>
      <w:r>
        <w:rPr>
          <w:sz w:val="22"/>
          <w:szCs w:val="22"/>
        </w:rPr>
        <w:t xml:space="preserve">Values and supports people who come forward with concerns</w:t>
      </w:r>
    </w:p>
    <w:p>
      <w:pPr>
        <w:pStyle w:val="ListParagraph"/>
        <w:numPr>
          <w:ilvl w:val="0"/>
          <w:numId w:val="2"/>
        </w:numPr>
        <w:spacing w:after="80"/>
      </w:pPr>
      <w:r>
        <w:rPr>
          <w:sz w:val="22"/>
          <w:szCs w:val="22"/>
        </w:rPr>
        <w:t xml:space="preserve">Treats all disclosures seriously and investigates them thoroughly</w:t>
      </w:r>
    </w:p>
    <w:p>
      <w:pPr>
        <w:pStyle w:val="ListParagraph"/>
        <w:numPr>
          <w:ilvl w:val="0"/>
          <w:numId w:val="2"/>
        </w:numPr>
        <w:spacing w:after="80"/>
      </w:pPr>
      <w:r>
        <w:rPr>
          <w:sz w:val="22"/>
          <w:szCs w:val="22"/>
        </w:rPr>
        <w:t xml:space="preserve">Protects the identity of whistleblowers to the maximum extent permitted by law</w:t>
      </w:r>
    </w:p>
    <w:p>
      <w:pPr>
        <w:pStyle w:val="ListParagraph"/>
        <w:numPr>
          <w:ilvl w:val="0"/>
          <w:numId w:val="2"/>
        </w:numPr>
        <w:spacing w:after="80"/>
      </w:pPr>
      <w:r>
        <w:rPr>
          <w:sz w:val="22"/>
          <w:szCs w:val="22"/>
        </w:rPr>
        <w:t xml:space="preserve">Takes action against anyone who retaliates against a whistleblower</w:t>
      </w:r>
    </w:p>
    <w:p>
      <w:pPr>
        <w:pStyle w:val="ListParagraph"/>
        <w:numPr>
          <w:ilvl w:val="0"/>
          <w:numId w:val="2"/>
        </w:numPr>
        <w:spacing w:after="80"/>
      </w:pPr>
      <w:r>
        <w:rPr>
          <w:sz w:val="22"/>
          <w:szCs w:val="22"/>
        </w:rPr>
        <w:t xml:space="preserve">Ensures disclosures can be made anonymously</w:t>
      </w:r>
    </w:p>
    <w:p>
      <w:pPr>
        <w:pStyle w:val="Heading2"/>
      </w:pPr>
      <w:r>
        <w:t xml:space="preserve">5.2 What Can Be Reported</w:t>
      </w:r>
    </w:p>
    <w:p>
      <w:pPr>
        <w:spacing w:after="120"/>
      </w:pPr>
      <w:r>
        <w:rPr>
          <w:sz w:val="22"/>
          <w:szCs w:val="22"/>
        </w:rPr>
        <w:t xml:space="preserve">Disclosable matters include, but are not limited to:</w:t>
      </w:r>
    </w:p>
    <w:p>
      <w:pPr>
        <w:pStyle w:val="ListParagraph"/>
        <w:numPr>
          <w:ilvl w:val="0"/>
          <w:numId w:val="2"/>
        </w:numPr>
        <w:spacing w:after="80"/>
      </w:pPr>
      <w:r>
        <w:rPr>
          <w:sz w:val="22"/>
          <w:szCs w:val="22"/>
        </w:rPr>
        <w:t xml:space="preserve">Fraud, theft, corruption, or financial mismanagement</w:t>
      </w:r>
    </w:p>
    <w:p>
      <w:pPr>
        <w:pStyle w:val="ListParagraph"/>
        <w:numPr>
          <w:ilvl w:val="0"/>
          <w:numId w:val="2"/>
        </w:numPr>
        <w:spacing w:after="80"/>
      </w:pPr>
      <w:r>
        <w:rPr>
          <w:sz w:val="22"/>
          <w:szCs w:val="22"/>
        </w:rPr>
        <w:t xml:space="preserve">Abuse, neglect, or exploitation of NDIS participants</w:t>
      </w:r>
    </w:p>
    <w:p>
      <w:pPr>
        <w:pStyle w:val="ListParagraph"/>
        <w:numPr>
          <w:ilvl w:val="0"/>
          <w:numId w:val="2"/>
        </w:numPr>
        <w:spacing w:after="80"/>
      </w:pPr>
      <w:r>
        <w:rPr>
          <w:sz w:val="22"/>
          <w:szCs w:val="22"/>
        </w:rPr>
        <w:t xml:space="preserve">Breaches of the NDIS Code of Conduct or NDIS Practice Standards</w:t>
      </w:r>
    </w:p>
    <w:p>
      <w:pPr>
        <w:pStyle w:val="ListParagraph"/>
        <w:numPr>
          <w:ilvl w:val="0"/>
          <w:numId w:val="2"/>
        </w:numPr>
        <w:spacing w:after="80"/>
      </w:pPr>
      <w:r>
        <w:rPr>
          <w:sz w:val="22"/>
          <w:szCs w:val="22"/>
        </w:rPr>
        <w:t xml:space="preserve">Illegal activity or criminal conduct</w:t>
      </w:r>
    </w:p>
    <w:p>
      <w:pPr>
        <w:pStyle w:val="ListParagraph"/>
        <w:numPr>
          <w:ilvl w:val="0"/>
          <w:numId w:val="2"/>
        </w:numPr>
        <w:spacing w:after="80"/>
      </w:pPr>
      <w:r>
        <w:rPr>
          <w:sz w:val="22"/>
          <w:szCs w:val="22"/>
        </w:rPr>
        <w:t xml:space="preserve">Conduct that represents a danger to the public or the health and safety of participants or workers</w:t>
      </w:r>
    </w:p>
    <w:p>
      <w:pPr>
        <w:pStyle w:val="ListParagraph"/>
        <w:numPr>
          <w:ilvl w:val="0"/>
          <w:numId w:val="2"/>
        </w:numPr>
        <w:spacing w:after="80"/>
      </w:pPr>
      <w:r>
        <w:rPr>
          <w:sz w:val="22"/>
          <w:szCs w:val="22"/>
        </w:rPr>
        <w:t xml:space="preserve">Significant breaches of organisational policies or procedures</w:t>
      </w:r>
    </w:p>
    <w:p>
      <w:pPr>
        <w:pStyle w:val="ListParagraph"/>
        <w:numPr>
          <w:ilvl w:val="0"/>
          <w:numId w:val="2"/>
        </w:numPr>
        <w:spacing w:after="80"/>
      </w:pPr>
      <w:r>
        <w:rPr>
          <w:sz w:val="22"/>
          <w:szCs w:val="22"/>
        </w:rPr>
        <w:t xml:space="preserve">Conduct that may cause financial loss or damage to the organisation's reputation</w:t>
      </w:r>
    </w:p>
    <w:p>
      <w:pPr>
        <w:pStyle w:val="ListParagraph"/>
        <w:numPr>
          <w:ilvl w:val="0"/>
          <w:numId w:val="2"/>
        </w:numPr>
        <w:spacing w:after="80"/>
      </w:pPr>
      <w:r>
        <w:rPr>
          <w:sz w:val="22"/>
          <w:szCs w:val="22"/>
        </w:rPr>
        <w:t xml:space="preserve">Deliberate concealment of any of the above</w:t>
      </w:r>
    </w:p>
    <w:p>
      <w:pPr>
        <w:pStyle w:val="Heading2"/>
      </w:pPr>
      <w:r>
        <w:t xml:space="preserve">5.3 How to Make a Disclosure</w:t>
      </w:r>
    </w:p>
    <w:p>
      <w:pPr>
        <w:spacing w:after="120"/>
      </w:pPr>
      <w:r>
        <w:rPr>
          <w:sz w:val="22"/>
          <w:szCs w:val="22"/>
        </w:rPr>
        <w:t xml:space="preserve">Disclosures can be made to:</w:t>
      </w:r>
    </w:p>
    <w:p>
      <w:pPr>
        <w:pStyle w:val="ListParagraph"/>
        <w:numPr>
          <w:ilvl w:val="0"/>
          <w:numId w:val="2"/>
        </w:numPr>
        <w:spacing w:after="80"/>
      </w:pPr>
      <w:r>
        <w:rPr>
          <w:sz w:val="22"/>
          <w:szCs w:val="22"/>
        </w:rPr>
        <w:t xml:space="preserve">The Director of Asina Disability Services (unless the disclosure concerns the Director)</w:t>
      </w:r>
    </w:p>
    <w:p>
      <w:pPr>
        <w:pStyle w:val="ListParagraph"/>
        <w:numPr>
          <w:ilvl w:val="0"/>
          <w:numId w:val="2"/>
        </w:numPr>
        <w:spacing w:after="80"/>
      </w:pPr>
      <w:r>
        <w:rPr>
          <w:sz w:val="22"/>
          <w:szCs w:val="22"/>
        </w:rPr>
        <w:t xml:space="preserve">An external legal practitioner</w:t>
      </w:r>
    </w:p>
    <w:p>
      <w:pPr>
        <w:pStyle w:val="ListParagraph"/>
        <w:numPr>
          <w:ilvl w:val="0"/>
          <w:numId w:val="2"/>
        </w:numPr>
        <w:spacing w:after="80"/>
      </w:pPr>
      <w:r>
        <w:rPr>
          <w:sz w:val="22"/>
          <w:szCs w:val="22"/>
        </w:rPr>
        <w:t xml:space="preserve">NDIS Quality and Safeguards Commission: 1800 035 544</w:t>
      </w:r>
    </w:p>
    <w:p>
      <w:pPr>
        <w:pStyle w:val="ListParagraph"/>
        <w:numPr>
          <w:ilvl w:val="0"/>
          <w:numId w:val="2"/>
        </w:numPr>
        <w:spacing w:after="80"/>
      </w:pPr>
      <w:r>
        <w:rPr>
          <w:sz w:val="22"/>
          <w:szCs w:val="22"/>
        </w:rPr>
        <w:t xml:space="preserve">Australian Securities and Investments Commission (ASIC): 1300 300 630</w:t>
      </w:r>
    </w:p>
    <w:p>
      <w:pPr>
        <w:pStyle w:val="ListParagraph"/>
        <w:numPr>
          <w:ilvl w:val="0"/>
          <w:numId w:val="2"/>
        </w:numPr>
        <w:spacing w:after="80"/>
      </w:pPr>
      <w:r>
        <w:rPr>
          <w:sz w:val="22"/>
          <w:szCs w:val="22"/>
        </w:rPr>
        <w:t xml:space="preserve">Australian Taxation Office (ATO) for tax-related matters</w:t>
      </w:r>
    </w:p>
    <w:p>
      <w:pPr>
        <w:pStyle w:val="ListParagraph"/>
        <w:numPr>
          <w:ilvl w:val="0"/>
          <w:numId w:val="2"/>
        </w:numPr>
        <w:spacing w:after="80"/>
      </w:pPr>
      <w:r>
        <w:rPr>
          <w:sz w:val="22"/>
          <w:szCs w:val="22"/>
        </w:rPr>
        <w:t xml:space="preserve">NSW Ombudsman (for public interest disclosures)</w:t>
      </w:r>
    </w:p>
    <w:p>
      <w:pPr>
        <w:spacing w:after="120"/>
      </w:pPr>
      <w:r>
        <w:rPr>
          <w:sz w:val="22"/>
          <w:szCs w:val="22"/>
        </w:rPr>
        <w:t xml:space="preserve">Disclosures can be made verbally, in writing, or anonymously.</w:t>
      </w:r>
    </w:p>
    <w:p>
      <w:pPr>
        <w:pStyle w:val="Heading2"/>
      </w:pPr>
      <w:r>
        <w:t xml:space="preserve">5.4 Protection from Reprisal</w:t>
      </w:r>
    </w:p>
    <w:p>
      <w:pPr>
        <w:spacing w:after="120"/>
      </w:pPr>
      <w:r>
        <w:rPr>
          <w:sz w:val="22"/>
          <w:szCs w:val="22"/>
        </w:rPr>
        <w:t xml:space="preserve">Whistleblowers are protected from:</w:t>
      </w:r>
    </w:p>
    <w:p>
      <w:pPr>
        <w:pStyle w:val="ListParagraph"/>
        <w:numPr>
          <w:ilvl w:val="0"/>
          <w:numId w:val="2"/>
        </w:numPr>
        <w:spacing w:after="80"/>
      </w:pPr>
      <w:r>
        <w:rPr>
          <w:sz w:val="22"/>
          <w:szCs w:val="22"/>
        </w:rPr>
        <w:t xml:space="preserve">Dismissal, demotion, or adverse changes to employment conditions</w:t>
      </w:r>
    </w:p>
    <w:p>
      <w:pPr>
        <w:pStyle w:val="ListParagraph"/>
        <w:numPr>
          <w:ilvl w:val="0"/>
          <w:numId w:val="2"/>
        </w:numPr>
        <w:spacing w:after="80"/>
      </w:pPr>
      <w:r>
        <w:rPr>
          <w:sz w:val="22"/>
          <w:szCs w:val="22"/>
        </w:rPr>
        <w:t xml:space="preserve">Harassment, bullying, or intimidation</w:t>
      </w:r>
    </w:p>
    <w:p>
      <w:pPr>
        <w:pStyle w:val="ListParagraph"/>
        <w:numPr>
          <w:ilvl w:val="0"/>
          <w:numId w:val="2"/>
        </w:numPr>
        <w:spacing w:after="80"/>
      </w:pPr>
      <w:r>
        <w:rPr>
          <w:sz w:val="22"/>
          <w:szCs w:val="22"/>
        </w:rPr>
        <w:t xml:space="preserve">Threats or any form of detriment</w:t>
      </w:r>
    </w:p>
    <w:p>
      <w:pPr>
        <w:pStyle w:val="ListParagraph"/>
        <w:numPr>
          <w:ilvl w:val="0"/>
          <w:numId w:val="2"/>
        </w:numPr>
        <w:spacing w:after="80"/>
      </w:pPr>
      <w:r>
        <w:rPr>
          <w:sz w:val="22"/>
          <w:szCs w:val="22"/>
        </w:rPr>
        <w:t xml:space="preserve">Discrimination in any form</w:t>
      </w:r>
    </w:p>
    <w:p>
      <w:pPr>
        <w:spacing w:after="120"/>
      </w:pPr>
      <w:r>
        <w:rPr>
          <w:sz w:val="22"/>
          <w:szCs w:val="22"/>
        </w:rPr>
        <w:t xml:space="preserve">Any person who engages in reprisal against a whistleblower will face disciplinary action, up to and including termination, and may face legal consequences under the Corporations Act 2001.</w:t>
      </w:r>
    </w:p>
    <w:p>
      <w:pPr>
        <w:pStyle w:val="Heading2"/>
      </w:pPr>
      <w:r>
        <w:t xml:space="preserve">5.5 Confidentiality</w:t>
      </w:r>
    </w:p>
    <w:p>
      <w:pPr>
        <w:spacing w:after="120"/>
      </w:pPr>
      <w:r>
        <w:rPr>
          <w:sz w:val="22"/>
          <w:szCs w:val="22"/>
        </w:rPr>
        <w:t xml:space="preserve">The identity of a whistleblower will be kept confidential to the maximum extent possible and is protected by law under the Corporations Act 2001. Information that could identify the whistleblower will only be disclosed:</w:t>
      </w:r>
    </w:p>
    <w:p>
      <w:pPr>
        <w:pStyle w:val="ListParagraph"/>
        <w:numPr>
          <w:ilvl w:val="0"/>
          <w:numId w:val="2"/>
        </w:numPr>
        <w:spacing w:after="80"/>
      </w:pPr>
      <w:r>
        <w:rPr>
          <w:sz w:val="22"/>
          <w:szCs w:val="22"/>
        </w:rPr>
        <w:t xml:space="preserve">With the whistleblower's consent</w:t>
      </w:r>
    </w:p>
    <w:p>
      <w:pPr>
        <w:pStyle w:val="ListParagraph"/>
        <w:numPr>
          <w:ilvl w:val="0"/>
          <w:numId w:val="2"/>
        </w:numPr>
        <w:spacing w:after="80"/>
      </w:pPr>
      <w:r>
        <w:rPr>
          <w:sz w:val="22"/>
          <w:szCs w:val="22"/>
        </w:rPr>
        <w:t xml:space="preserve">To a legal practitioner for legal advice</w:t>
      </w:r>
    </w:p>
    <w:p>
      <w:pPr>
        <w:pStyle w:val="ListParagraph"/>
        <w:numPr>
          <w:ilvl w:val="0"/>
          <w:numId w:val="2"/>
        </w:numPr>
        <w:spacing w:after="80"/>
      </w:pPr>
      <w:r>
        <w:rPr>
          <w:sz w:val="22"/>
          <w:szCs w:val="22"/>
        </w:rPr>
        <w:t xml:space="preserve">To ASIC, APRA, the ATO, or a Commonwealth body as permitted by law</w:t>
      </w:r>
    </w:p>
    <w:p>
      <w:pPr>
        <w:pStyle w:val="ListParagraph"/>
        <w:numPr>
          <w:ilvl w:val="0"/>
          <w:numId w:val="2"/>
        </w:numPr>
        <w:spacing w:after="80"/>
      </w:pPr>
      <w:r>
        <w:rPr>
          <w:sz w:val="22"/>
          <w:szCs w:val="22"/>
        </w:rPr>
        <w:t xml:space="preserve">Where reasonably necessary for investigation, with steps taken to reduce the risk of identification</w:t>
      </w:r>
    </w:p>
    <w:p>
      <w:pPr>
        <w:pStyle w:val="Heading1"/>
      </w:pPr>
      <w:r>
        <w:t xml:space="preserve">6. Procedures</w:t>
      </w:r>
    </w:p>
    <w:p>
      <w:pPr>
        <w:pStyle w:val="ListParagraph"/>
        <w:numPr>
          <w:ilvl w:val="0"/>
          <w:numId w:val="3"/>
        </w:numPr>
        <w:spacing w:after="80"/>
      </w:pPr>
      <w:r>
        <w:rPr>
          <w:sz w:val="22"/>
          <w:szCs w:val="22"/>
        </w:rPr>
        <w:t xml:space="preserve">The disclosure is received and the recipient confirms receipt to the whistleblower (where not anonymous) within 2 business days.</w:t>
      </w:r>
    </w:p>
    <w:p>
      <w:pPr>
        <w:pStyle w:val="ListParagraph"/>
        <w:numPr>
          <w:ilvl w:val="0"/>
          <w:numId w:val="3"/>
        </w:numPr>
        <w:spacing w:after="80"/>
      </w:pPr>
      <w:r>
        <w:rPr>
          <w:sz w:val="22"/>
          <w:szCs w:val="22"/>
        </w:rPr>
        <w:t xml:space="preserve">The disclosure is assessed to determine if it qualifies as a disclosable matter.</w:t>
      </w:r>
    </w:p>
    <w:p>
      <w:pPr>
        <w:pStyle w:val="ListParagraph"/>
        <w:numPr>
          <w:ilvl w:val="0"/>
          <w:numId w:val="3"/>
        </w:numPr>
        <w:spacing w:after="80"/>
      </w:pPr>
      <w:r>
        <w:rPr>
          <w:sz w:val="22"/>
          <w:szCs w:val="22"/>
        </w:rPr>
        <w:t xml:space="preserve">An investigation is initiated, led by the Director or an external investigator where the Director is implicated.</w:t>
      </w:r>
    </w:p>
    <w:p>
      <w:pPr>
        <w:pStyle w:val="ListParagraph"/>
        <w:numPr>
          <w:ilvl w:val="0"/>
          <w:numId w:val="3"/>
        </w:numPr>
        <w:spacing w:after="80"/>
      </w:pPr>
      <w:r>
        <w:rPr>
          <w:sz w:val="22"/>
          <w:szCs w:val="22"/>
        </w:rPr>
        <w:t xml:space="preserve">The investigation is conducted confidentially and impartially.</w:t>
      </w:r>
    </w:p>
    <w:p>
      <w:pPr>
        <w:pStyle w:val="ListParagraph"/>
        <w:numPr>
          <w:ilvl w:val="0"/>
          <w:numId w:val="3"/>
        </w:numPr>
        <w:spacing w:after="80"/>
      </w:pPr>
      <w:r>
        <w:rPr>
          <w:sz w:val="22"/>
          <w:szCs w:val="22"/>
        </w:rPr>
        <w:t xml:space="preserve">The whistleblower is kept informed of progress (where not anonymous) at regular intervals.</w:t>
      </w:r>
    </w:p>
    <w:p>
      <w:pPr>
        <w:pStyle w:val="ListParagraph"/>
        <w:numPr>
          <w:ilvl w:val="0"/>
          <w:numId w:val="3"/>
        </w:numPr>
        <w:spacing w:after="80"/>
      </w:pPr>
      <w:r>
        <w:rPr>
          <w:sz w:val="22"/>
          <w:szCs w:val="22"/>
        </w:rPr>
        <w:t xml:space="preserve">Findings are documented and appropriate corrective actions are implemented.</w:t>
      </w:r>
    </w:p>
    <w:p>
      <w:pPr>
        <w:pStyle w:val="ListParagraph"/>
        <w:numPr>
          <w:ilvl w:val="0"/>
          <w:numId w:val="3"/>
        </w:numPr>
        <w:spacing w:after="80"/>
      </w:pPr>
      <w:r>
        <w:rPr>
          <w:sz w:val="22"/>
          <w:szCs w:val="22"/>
        </w:rPr>
        <w:t xml:space="preserve">The whistleblower is informed of the outcome.</w:t>
      </w:r>
    </w:p>
    <w:p>
      <w:pPr>
        <w:pStyle w:val="ListParagraph"/>
        <w:numPr>
          <w:ilvl w:val="0"/>
          <w:numId w:val="3"/>
        </w:numPr>
        <w:spacing w:after="80"/>
      </w:pPr>
      <w:r>
        <w:rPr>
          <w:sz w:val="22"/>
          <w:szCs w:val="22"/>
        </w:rPr>
        <w:t xml:space="preserve">Records are maintained securely with restricted access.</w:t>
      </w:r>
    </w:p>
    <w:p>
      <w:pPr>
        <w:pStyle w:val="Heading1"/>
      </w:pPr>
      <w:r>
        <w:t xml:space="preserve">7. Responsibilities</w:t>
      </w:r>
    </w:p>
    <w:p>
      <w:pPr>
        <w:spacing w:after="120"/>
      </w:pPr>
      <w:r>
        <w:rPr>
          <w:b/>
          <w:bCs/>
          <w:sz w:val="22"/>
          <w:szCs w:val="22"/>
        </w:rPr>
        <w:t xml:space="preserve">Director: </w:t>
      </w:r>
      <w:r>
        <w:rPr>
          <w:sz w:val="22"/>
          <w:szCs w:val="22"/>
        </w:rPr>
        <w:t xml:space="preserve">Receive and investigate disclosures, ensure whistleblower protection, maintain confidentiality, implement corrective actions, and report to external bodies where required.</w:t>
      </w:r>
    </w:p>
    <w:p>
      <w:pPr>
        <w:spacing w:after="120"/>
      </w:pPr>
      <w:r>
        <w:rPr>
          <w:b/>
          <w:bCs/>
          <w:sz w:val="22"/>
          <w:szCs w:val="22"/>
        </w:rPr>
        <w:t xml:space="preserve">Workers: </w:t>
      </w:r>
      <w:r>
        <w:rPr>
          <w:sz w:val="22"/>
          <w:szCs w:val="22"/>
        </w:rPr>
        <w:t xml:space="preserve">Report concerns through appropriate channels, cooperate with investigations, maintain confidentiality about disclosures they become aware of, and not engage in reprisal.</w:t>
      </w:r>
    </w:p>
    <w:p>
      <w:pPr>
        <w:pStyle w:val="Heading1"/>
      </w:pPr>
      <w:r>
        <w:t xml:space="preserve">8. Related Documents</w:t>
      </w:r>
    </w:p>
    <w:p>
      <w:pPr>
        <w:pStyle w:val="ListParagraph"/>
        <w:numPr>
          <w:ilvl w:val="0"/>
          <w:numId w:val="2"/>
        </w:numPr>
        <w:spacing w:after="80"/>
      </w:pPr>
      <w:r>
        <w:rPr>
          <w:sz w:val="22"/>
          <w:szCs w:val="22"/>
        </w:rPr>
        <w:t xml:space="preserve">POL-GOV-001 Governance Framework Policy</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POL-HR-005 Workplace Bullying, Harassment and Discrimination Policy</w:t>
      </w:r>
    </w:p>
    <w:p>
      <w:pPr>
        <w:pStyle w:val="ListParagraph"/>
        <w:numPr>
          <w:ilvl w:val="0"/>
          <w:numId w:val="2"/>
        </w:numPr>
        <w:spacing w:after="80"/>
      </w:pPr>
      <w:r>
        <w:rPr>
          <w:sz w:val="22"/>
          <w:szCs w:val="22"/>
        </w:rPr>
        <w:t xml:space="preserve">POL-FB-001 Feedback and Complaints Management Policy</w:t>
      </w:r>
    </w:p>
    <w:p>
      <w:pPr>
        <w:pStyle w:val="Heading1"/>
      </w:pPr>
      <w:r>
        <w:t xml:space="preserve">9. Review</w:t>
      </w:r>
    </w:p>
    <w:p>
      <w:pPr>
        <w:spacing w:after="120"/>
      </w:pPr>
      <w:r>
        <w:rPr>
          <w:sz w:val="22"/>
          <w:szCs w:val="22"/>
        </w:rPr>
        <w:t xml:space="preserve">This policy will be reviewed annually or sooner following legislative changes or a disclosure event.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POL-GOV-006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Whistleblower Protection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2026-03-11T07:10:25.155Z</dcterms:created>
  <dcterms:modified xsi:type="dcterms:W3CDTF">2026-03-11T07:10:25.155Z</dcterms:modified>
</cp:coreProperties>
</file>

<file path=docProps/custom.xml><?xml version="1.0" encoding="utf-8"?>
<Properties xmlns="http://schemas.openxmlformats.org/officeDocument/2006/custom-properties" xmlns:vt="http://schemas.openxmlformats.org/officeDocument/2006/docPropsVTypes"/>
</file>