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CONFLICT OF INTEREST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provides a framework for identifying, declaring, and managing conflicts of interest at Asina Disability Services. It ensures that organisational decisions are made in the best interests of NDIS participants and the organisation, free from improper influence.</w:t>
      </w:r>
    </w:p>
    <w:p>
      <w:pPr>
        <w:pStyle w:val="Heading1"/>
      </w:pPr>
      <w:r>
        <w:t xml:space="preserve">2. Scope</w:t>
      </w:r>
    </w:p>
    <w:p>
      <w:pPr>
        <w:spacing w:after="120"/>
      </w:pPr>
      <w:r>
        <w:rPr>
          <w:sz w:val="22"/>
          <w:szCs w:val="22"/>
        </w:rPr>
        <w:t xml:space="preserve">This policy applies to all key personnel and workers of Asina Disability Services.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Corporations Act 2001 (Cth)</w:t>
      </w:r>
    </w:p>
    <w:p>
      <w:pPr>
        <w:pStyle w:val="ListParagraph"/>
        <w:numPr>
          <w:ilvl w:val="0"/>
          <w:numId w:val="2"/>
        </w:numPr>
        <w:spacing w:after="80"/>
      </w:pPr>
      <w:r>
        <w:rPr>
          <w:sz w:val="22"/>
          <w:szCs w:val="22"/>
        </w:rPr>
        <w:t xml:space="preserve">Fair Work Act 2009 (Cth)</w:t>
      </w:r>
    </w:p>
    <w:p>
      <w:pPr>
        <w:pStyle w:val="Heading1"/>
      </w:pPr>
      <w:r>
        <w:t xml:space="preserve">4. Definitions</w:t>
      </w:r>
    </w:p>
    <w:p>
      <w:pPr>
        <w:spacing w:after="120"/>
      </w:pPr>
      <w:r>
        <w:rPr>
          <w:b/>
          <w:bCs/>
          <w:sz w:val="22"/>
          <w:szCs w:val="22"/>
        </w:rPr>
        <w:t xml:space="preserve">Conflict of Interest: </w:t>
      </w:r>
      <w:r>
        <w:rPr>
          <w:sz w:val="22"/>
          <w:szCs w:val="22"/>
        </w:rPr>
        <w:t xml:space="preserve">A situation where a person's personal interests, relationships, or activities could improperly influence, or could be perceived to influence, their professional judgement or decisions.</w:t>
      </w:r>
    </w:p>
    <w:p>
      <w:pPr>
        <w:spacing w:after="120"/>
      </w:pPr>
      <w:r>
        <w:rPr>
          <w:b/>
          <w:bCs/>
          <w:sz w:val="22"/>
          <w:szCs w:val="22"/>
        </w:rPr>
        <w:t xml:space="preserve">Actual Conflict: </w:t>
      </w:r>
      <w:r>
        <w:rPr>
          <w:sz w:val="22"/>
          <w:szCs w:val="22"/>
        </w:rPr>
        <w:t xml:space="preserve">A direct conflict between current duties and existing private interests.</w:t>
      </w:r>
    </w:p>
    <w:p>
      <w:pPr>
        <w:spacing w:after="120"/>
      </w:pPr>
      <w:r>
        <w:rPr>
          <w:b/>
          <w:bCs/>
          <w:sz w:val="22"/>
          <w:szCs w:val="22"/>
        </w:rPr>
        <w:t xml:space="preserve">Potential Conflict: </w:t>
      </w:r>
      <w:r>
        <w:rPr>
          <w:sz w:val="22"/>
          <w:szCs w:val="22"/>
        </w:rPr>
        <w:t xml:space="preserve">A situation where private interests could conflict with duties in the future.</w:t>
      </w:r>
    </w:p>
    <w:p>
      <w:pPr>
        <w:spacing w:after="120"/>
      </w:pPr>
      <w:r>
        <w:rPr>
          <w:b/>
          <w:bCs/>
          <w:sz w:val="22"/>
          <w:szCs w:val="22"/>
        </w:rPr>
        <w:t xml:space="preserve">Perceived Conflict: </w:t>
      </w:r>
      <w:r>
        <w:rPr>
          <w:sz w:val="22"/>
          <w:szCs w:val="22"/>
        </w:rPr>
        <w:t xml:space="preserve">A situation where it could reasonably appear that private interests are improperly influencing duties, whether or not this is actually the case.</w:t>
      </w:r>
    </w:p>
    <w:p>
      <w:pPr>
        <w:pStyle w:val="Heading1"/>
      </w:pPr>
      <w:r>
        <w:t xml:space="preserve">5. Policy Statement</w:t>
      </w:r>
    </w:p>
    <w:p>
      <w:pPr>
        <w:pStyle w:val="Heading2"/>
      </w:pPr>
      <w:r>
        <w:t xml:space="preserve">5.1 Types of Conflicts</w:t>
      </w:r>
    </w:p>
    <w:p>
      <w:pPr>
        <w:spacing w:after="120"/>
      </w:pPr>
      <w:r>
        <w:rPr>
          <w:sz w:val="22"/>
          <w:szCs w:val="22"/>
        </w:rPr>
        <w:t xml:space="preserve">Conflicts of interest may arise in situations including:</w:t>
      </w:r>
    </w:p>
    <w:p>
      <w:pPr>
        <w:pStyle w:val="ListParagraph"/>
        <w:numPr>
          <w:ilvl w:val="0"/>
          <w:numId w:val="2"/>
        </w:numPr>
        <w:spacing w:after="80"/>
      </w:pPr>
      <w:r>
        <w:rPr>
          <w:sz w:val="22"/>
          <w:szCs w:val="22"/>
        </w:rPr>
        <w:t xml:space="preserve">Financial interests in a business or organisation that has dealings with Asina Disability Services</w:t>
      </w:r>
    </w:p>
    <w:p>
      <w:pPr>
        <w:pStyle w:val="ListParagraph"/>
        <w:numPr>
          <w:ilvl w:val="0"/>
          <w:numId w:val="2"/>
        </w:numPr>
        <w:spacing w:after="80"/>
      </w:pPr>
      <w:r>
        <w:rPr>
          <w:sz w:val="22"/>
          <w:szCs w:val="22"/>
        </w:rPr>
        <w:t xml:space="preserve">Secondary employment or business activities that may affect duties</w:t>
      </w:r>
    </w:p>
    <w:p>
      <w:pPr>
        <w:pStyle w:val="ListParagraph"/>
        <w:numPr>
          <w:ilvl w:val="0"/>
          <w:numId w:val="2"/>
        </w:numPr>
        <w:spacing w:after="80"/>
      </w:pPr>
      <w:r>
        <w:rPr>
          <w:sz w:val="22"/>
          <w:szCs w:val="22"/>
        </w:rPr>
        <w:t xml:space="preserve">Personal or family relationships with participants, suppliers, or competitors</w:t>
      </w:r>
    </w:p>
    <w:p>
      <w:pPr>
        <w:pStyle w:val="ListParagraph"/>
        <w:numPr>
          <w:ilvl w:val="0"/>
          <w:numId w:val="2"/>
        </w:numPr>
        <w:spacing w:after="80"/>
      </w:pPr>
      <w:r>
        <w:rPr>
          <w:sz w:val="22"/>
          <w:szCs w:val="22"/>
        </w:rPr>
        <w:t xml:space="preserve">Accepting gifts, hospitality, or benefits from participants, families, or suppliers</w:t>
      </w:r>
    </w:p>
    <w:p>
      <w:pPr>
        <w:pStyle w:val="ListParagraph"/>
        <w:numPr>
          <w:ilvl w:val="0"/>
          <w:numId w:val="2"/>
        </w:numPr>
        <w:spacing w:after="80"/>
      </w:pPr>
      <w:r>
        <w:rPr>
          <w:sz w:val="22"/>
          <w:szCs w:val="22"/>
        </w:rPr>
        <w:t xml:space="preserve">Using organisational resources, information, or position for personal advantage</w:t>
      </w:r>
    </w:p>
    <w:p>
      <w:pPr>
        <w:pStyle w:val="ListParagraph"/>
        <w:numPr>
          <w:ilvl w:val="0"/>
          <w:numId w:val="2"/>
        </w:numPr>
        <w:spacing w:after="80"/>
      </w:pPr>
      <w:r>
        <w:rPr>
          <w:sz w:val="22"/>
          <w:szCs w:val="22"/>
        </w:rPr>
        <w:t xml:space="preserve">Participating in decisions that directly benefit the worker or their associates</w:t>
      </w:r>
    </w:p>
    <w:p>
      <w:pPr>
        <w:pStyle w:val="ListParagraph"/>
        <w:numPr>
          <w:ilvl w:val="0"/>
          <w:numId w:val="2"/>
        </w:numPr>
        <w:spacing w:after="80"/>
      </w:pPr>
      <w:r>
        <w:rPr>
          <w:sz w:val="22"/>
          <w:szCs w:val="22"/>
        </w:rPr>
        <w:t xml:space="preserve">Providing supports to family members or close friends</w:t>
      </w:r>
    </w:p>
    <w:p>
      <w:pPr>
        <w:pStyle w:val="Heading2"/>
      </w:pPr>
      <w:r>
        <w:t xml:space="preserve">5.2 Gifts and Benefits</w:t>
      </w:r>
    </w:p>
    <w:p>
      <w:pPr>
        <w:pStyle w:val="ListParagraph"/>
        <w:numPr>
          <w:ilvl w:val="0"/>
          <w:numId w:val="2"/>
        </w:numPr>
        <w:spacing w:after="80"/>
      </w:pPr>
      <w:r>
        <w:rPr>
          <w:sz w:val="22"/>
          <w:szCs w:val="22"/>
        </w:rPr>
        <w:t xml:space="preserve">Workers must not solicit gifts or benefits from participants, families, or suppliers</w:t>
      </w:r>
    </w:p>
    <w:p>
      <w:pPr>
        <w:pStyle w:val="ListParagraph"/>
        <w:numPr>
          <w:ilvl w:val="0"/>
          <w:numId w:val="2"/>
        </w:numPr>
        <w:spacing w:after="80"/>
      </w:pPr>
      <w:r>
        <w:rPr>
          <w:sz w:val="22"/>
          <w:szCs w:val="22"/>
        </w:rPr>
        <w:t xml:space="preserve">Gifts of nominal value (under $50) may be accepted but must be declared</w:t>
      </w:r>
    </w:p>
    <w:p>
      <w:pPr>
        <w:pStyle w:val="ListParagraph"/>
        <w:numPr>
          <w:ilvl w:val="0"/>
          <w:numId w:val="2"/>
        </w:numPr>
        <w:spacing w:after="80"/>
      </w:pPr>
      <w:r>
        <w:rPr>
          <w:sz w:val="22"/>
          <w:szCs w:val="22"/>
        </w:rPr>
        <w:t xml:space="preserve">Gifts over $50 must be declined or, if declining would cause offence, declared to the Director and managed appropriately</w:t>
      </w:r>
    </w:p>
    <w:p>
      <w:pPr>
        <w:pStyle w:val="ListParagraph"/>
        <w:numPr>
          <w:ilvl w:val="0"/>
          <w:numId w:val="2"/>
        </w:numPr>
        <w:spacing w:after="80"/>
      </w:pPr>
      <w:r>
        <w:rPr>
          <w:sz w:val="22"/>
          <w:szCs w:val="22"/>
        </w:rPr>
        <w:t xml:space="preserve">Cash gifts must never be accepted</w:t>
      </w:r>
    </w:p>
    <w:p>
      <w:pPr>
        <w:pStyle w:val="ListParagraph"/>
        <w:numPr>
          <w:ilvl w:val="0"/>
          <w:numId w:val="2"/>
        </w:numPr>
        <w:spacing w:after="80"/>
      </w:pPr>
      <w:r>
        <w:rPr>
          <w:sz w:val="22"/>
          <w:szCs w:val="22"/>
        </w:rPr>
        <w:t xml:space="preserve">All gifts and benefits received are recorded in the Gifts and Benefits Register</w:t>
      </w:r>
    </w:p>
    <w:p>
      <w:pPr>
        <w:pStyle w:val="Heading2"/>
      </w:pPr>
      <w:r>
        <w:t xml:space="preserve">5.3 Management Strategies</w:t>
      </w:r>
    </w:p>
    <w:p>
      <w:pPr>
        <w:spacing w:after="120"/>
      </w:pPr>
      <w:r>
        <w:rPr>
          <w:sz w:val="22"/>
          <w:szCs w:val="22"/>
        </w:rPr>
        <w:t xml:space="preserve">When a conflict of interest is identified, management strategies may include:</w:t>
      </w:r>
    </w:p>
    <w:p>
      <w:pPr>
        <w:pStyle w:val="ListParagraph"/>
        <w:numPr>
          <w:ilvl w:val="0"/>
          <w:numId w:val="2"/>
        </w:numPr>
        <w:spacing w:after="80"/>
      </w:pPr>
      <w:r>
        <w:rPr>
          <w:sz w:val="22"/>
          <w:szCs w:val="22"/>
        </w:rPr>
        <w:t xml:space="preserve">Restricting the person's involvement in the relevant decision or activity</w:t>
      </w:r>
    </w:p>
    <w:p>
      <w:pPr>
        <w:pStyle w:val="ListParagraph"/>
        <w:numPr>
          <w:ilvl w:val="0"/>
          <w:numId w:val="2"/>
        </w:numPr>
        <w:spacing w:after="80"/>
      </w:pPr>
      <w:r>
        <w:rPr>
          <w:sz w:val="22"/>
          <w:szCs w:val="22"/>
        </w:rPr>
        <w:t xml:space="preserve">Removing the person from the decision-making process entirely</w:t>
      </w:r>
    </w:p>
    <w:p>
      <w:pPr>
        <w:pStyle w:val="ListParagraph"/>
        <w:numPr>
          <w:ilvl w:val="0"/>
          <w:numId w:val="2"/>
        </w:numPr>
        <w:spacing w:after="80"/>
      </w:pPr>
      <w:r>
        <w:rPr>
          <w:sz w:val="22"/>
          <w:szCs w:val="22"/>
        </w:rPr>
        <w:t xml:space="preserve">Engaging an independent third party to make the decision</w:t>
      </w:r>
    </w:p>
    <w:p>
      <w:pPr>
        <w:pStyle w:val="ListParagraph"/>
        <w:numPr>
          <w:ilvl w:val="0"/>
          <w:numId w:val="2"/>
        </w:numPr>
        <w:spacing w:after="80"/>
      </w:pPr>
      <w:r>
        <w:rPr>
          <w:sz w:val="22"/>
          <w:szCs w:val="22"/>
        </w:rPr>
        <w:t xml:space="preserve">Increasing transparency and oversight of the decision</w:t>
      </w:r>
    </w:p>
    <w:p>
      <w:pPr>
        <w:pStyle w:val="ListParagraph"/>
        <w:numPr>
          <w:ilvl w:val="0"/>
          <w:numId w:val="2"/>
        </w:numPr>
        <w:spacing w:after="80"/>
      </w:pPr>
      <w:r>
        <w:rPr>
          <w:sz w:val="22"/>
          <w:szCs w:val="22"/>
        </w:rPr>
        <w:t xml:space="preserve">Divesting the conflicting interest</w:t>
      </w:r>
    </w:p>
    <w:p>
      <w:pPr>
        <w:pStyle w:val="Heading1"/>
      </w:pPr>
      <w:r>
        <w:t xml:space="preserve">6. Procedures</w:t>
      </w:r>
    </w:p>
    <w:p>
      <w:pPr>
        <w:pStyle w:val="ListParagraph"/>
        <w:numPr>
          <w:ilvl w:val="0"/>
          <w:numId w:val="3"/>
        </w:numPr>
        <w:spacing w:after="80"/>
      </w:pPr>
      <w:r>
        <w:rPr>
          <w:sz w:val="22"/>
          <w:szCs w:val="22"/>
        </w:rPr>
        <w:t xml:space="preserve">All workers complete a Conflict of Interest Declaration upon commencement and annually thereafter.</w:t>
      </w:r>
    </w:p>
    <w:p>
      <w:pPr>
        <w:pStyle w:val="ListParagraph"/>
        <w:numPr>
          <w:ilvl w:val="0"/>
          <w:numId w:val="3"/>
        </w:numPr>
        <w:spacing w:after="80"/>
      </w:pPr>
      <w:r>
        <w:rPr>
          <w:sz w:val="22"/>
          <w:szCs w:val="22"/>
        </w:rPr>
        <w:t xml:space="preserve">Workers must declare any conflict of interest as soon as they become aware of it.</w:t>
      </w:r>
    </w:p>
    <w:p>
      <w:pPr>
        <w:pStyle w:val="ListParagraph"/>
        <w:numPr>
          <w:ilvl w:val="0"/>
          <w:numId w:val="3"/>
        </w:numPr>
        <w:spacing w:after="80"/>
      </w:pPr>
      <w:r>
        <w:rPr>
          <w:sz w:val="22"/>
          <w:szCs w:val="22"/>
        </w:rPr>
        <w:t xml:space="preserve">Declarations are made in writing to the Director using the Conflict of Interest Declaration Form.</w:t>
      </w:r>
    </w:p>
    <w:p>
      <w:pPr>
        <w:pStyle w:val="ListParagraph"/>
        <w:numPr>
          <w:ilvl w:val="0"/>
          <w:numId w:val="3"/>
        </w:numPr>
        <w:spacing w:after="80"/>
      </w:pPr>
      <w:r>
        <w:rPr>
          <w:sz w:val="22"/>
          <w:szCs w:val="22"/>
        </w:rPr>
        <w:t xml:space="preserve">The Director assesses the conflict and determines appropriate management strategies.</w:t>
      </w:r>
    </w:p>
    <w:p>
      <w:pPr>
        <w:pStyle w:val="ListParagraph"/>
        <w:numPr>
          <w:ilvl w:val="0"/>
          <w:numId w:val="3"/>
        </w:numPr>
        <w:spacing w:after="80"/>
      </w:pPr>
      <w:r>
        <w:rPr>
          <w:sz w:val="22"/>
          <w:szCs w:val="22"/>
        </w:rPr>
        <w:t xml:space="preserve">The conflict, management strategy, and outcome are recorded in the Conflict of Interest Register.</w:t>
      </w:r>
    </w:p>
    <w:p>
      <w:pPr>
        <w:pStyle w:val="ListParagraph"/>
        <w:numPr>
          <w:ilvl w:val="0"/>
          <w:numId w:val="3"/>
        </w:numPr>
        <w:spacing w:after="80"/>
      </w:pPr>
      <w:r>
        <w:rPr>
          <w:sz w:val="22"/>
          <w:szCs w:val="22"/>
        </w:rPr>
        <w:t xml:space="preserve">The register is reviewed annually by the Director.</w:t>
      </w:r>
    </w:p>
    <w:p>
      <w:pPr>
        <w:pStyle w:val="Heading1"/>
      </w:pPr>
      <w:r>
        <w:t xml:space="preserve">7. Responsibilities</w:t>
      </w:r>
    </w:p>
    <w:p>
      <w:pPr>
        <w:spacing w:after="120"/>
      </w:pPr>
      <w:r>
        <w:rPr>
          <w:b/>
          <w:bCs/>
          <w:sz w:val="22"/>
          <w:szCs w:val="22"/>
        </w:rPr>
        <w:t xml:space="preserve">Director: </w:t>
      </w:r>
      <w:r>
        <w:rPr>
          <w:sz w:val="22"/>
          <w:szCs w:val="22"/>
        </w:rPr>
        <w:t xml:space="preserve">Maintain the Conflict of Interest Register, assess and manage declared conflicts, model ethical conduct, and review the register annually.</w:t>
      </w:r>
    </w:p>
    <w:p>
      <w:pPr>
        <w:spacing w:after="120"/>
      </w:pPr>
      <w:r>
        <w:rPr>
          <w:b/>
          <w:bCs/>
          <w:sz w:val="22"/>
          <w:szCs w:val="22"/>
        </w:rPr>
        <w:t xml:space="preserve">Workers: </w:t>
      </w:r>
      <w:r>
        <w:rPr>
          <w:sz w:val="22"/>
          <w:szCs w:val="22"/>
        </w:rPr>
        <w:t xml:space="preserve">Declare conflicts of interest promptly and honestly, comply with management strategies, and avoid situations that could create conflicts.</w:t>
      </w:r>
    </w:p>
    <w:p>
      <w:pPr>
        <w:pStyle w:val="Heading1"/>
      </w:pPr>
      <w:r>
        <w:t xml:space="preserve">8.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Conflict of Interest Declaration Form</w:t>
      </w:r>
    </w:p>
    <w:p>
      <w:pPr>
        <w:pStyle w:val="ListParagraph"/>
        <w:numPr>
          <w:ilvl w:val="0"/>
          <w:numId w:val="2"/>
        </w:numPr>
        <w:spacing w:after="80"/>
      </w:pPr>
      <w:r>
        <w:rPr>
          <w:sz w:val="22"/>
          <w:szCs w:val="22"/>
        </w:rPr>
        <w:t xml:space="preserve">Conflict of Interest Register</w:t>
      </w:r>
    </w:p>
    <w:p>
      <w:pPr>
        <w:pStyle w:val="ListParagraph"/>
        <w:numPr>
          <w:ilvl w:val="0"/>
          <w:numId w:val="2"/>
        </w:numPr>
        <w:spacing w:after="80"/>
      </w:pPr>
      <w:r>
        <w:rPr>
          <w:sz w:val="22"/>
          <w:szCs w:val="22"/>
        </w:rPr>
        <w:t xml:space="preserve">Gifts and Benefits Register</w:t>
      </w:r>
    </w:p>
    <w:p>
      <w:pPr>
        <w:pStyle w:val="Heading1"/>
      </w:pPr>
      <w:r>
        <w:t xml:space="preserve">9. Review</w:t>
      </w:r>
    </w:p>
    <w:p>
      <w:pPr>
        <w:spacing w:after="120"/>
      </w:pPr>
      <w:r>
        <w:rPr>
          <w:sz w:val="22"/>
          <w:szCs w:val="22"/>
        </w:rPr>
        <w:t xml:space="preserve">This policy will be reviewed annually.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POL-GOV-007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Conflict of Interest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2026-03-11T07:10:25.224Z</dcterms:created>
  <dcterms:modified xsi:type="dcterms:W3CDTF">2026-03-11T07:10:25.224Z</dcterms:modified>
</cp:coreProperties>
</file>

<file path=docProps/custom.xml><?xml version="1.0" encoding="utf-8"?>
<Properties xmlns="http://schemas.openxmlformats.org/officeDocument/2006/custom-properties" xmlns:vt="http://schemas.openxmlformats.org/officeDocument/2006/docPropsVTypes"/>
</file>