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CODE OF CONDUCT</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POL-HR-001</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the expected standards of behaviour and conduct for all workers of Asina Disability Services. It is aligned with the NDIS Code of Conduct and reflects the organisation's commitment to providing safe, respectful, and high-quality supports to NDIS participants.</w:t>
      </w:r>
    </w:p>
    <w:p>
      <w:pPr>
        <w:spacing w:after="120"/>
      </w:pPr>
      <w:r>
        <w:rPr>
          <w:sz w:val="22"/>
          <w:szCs w:val="22"/>
        </w:rPr>
        <w:t xml:space="preserve">All workers must understand and comply with this Code of Conduct as a condition of their engagement with Asina Disability Services.</w:t>
      </w:r>
    </w:p>
    <w:p>
      <w:pPr>
        <w:pStyle w:val="Heading1"/>
      </w:pPr>
      <w:r>
        <w:t xml:space="preserve">2. Scope</w:t>
      </w:r>
    </w:p>
    <w:p>
      <w:pPr>
        <w:spacing w:after="120"/>
      </w:pPr>
      <w:r>
        <w:rPr>
          <w:sz w:val="22"/>
          <w:szCs w:val="22"/>
        </w:rPr>
        <w:t xml:space="preserve">This policy applies to all workers of Asina Disability Services including employees (full-time, part-time, and casual), contractors, subcontractors, volunteers, and students on placement. It applies at all times when representing the organisation or delivering supports.</w:t>
      </w:r>
    </w:p>
    <w:p>
      <w:pPr>
        <w:pStyle w:val="Heading1"/>
      </w:pPr>
      <w:r>
        <w:t xml:space="preserve">3. Legislative and Standards Framework</w:t>
      </w:r>
    </w:p>
    <w:p>
      <w:pPr>
        <w:pStyle w:val="ListParagraph"/>
        <w:numPr>
          <w:ilvl w:val="0"/>
          <w:numId w:val="2"/>
        </w:numPr>
        <w:spacing w:after="80"/>
      </w:pPr>
      <w:r>
        <w:rPr>
          <w:sz w:val="22"/>
          <w:szCs w:val="22"/>
        </w:rPr>
        <w:t xml:space="preserve">NDIS Code of Conduct (Section 73V, NDIS Act 2013)</w:t>
      </w:r>
    </w:p>
    <w:p>
      <w:pPr>
        <w:pStyle w:val="ListParagraph"/>
        <w:numPr>
          <w:ilvl w:val="0"/>
          <w:numId w:val="2"/>
        </w:numPr>
        <w:spacing w:after="80"/>
      </w:pPr>
      <w:r>
        <w:rPr>
          <w:sz w:val="22"/>
          <w:szCs w:val="22"/>
        </w:rPr>
        <w:t xml:space="preserve">NDIS Practice Standards - Core Module: Human Resource Management</w:t>
      </w:r>
    </w:p>
    <w:p>
      <w:pPr>
        <w:pStyle w:val="ListParagraph"/>
        <w:numPr>
          <w:ilvl w:val="0"/>
          <w:numId w:val="2"/>
        </w:numPr>
        <w:spacing w:after="80"/>
      </w:pPr>
      <w:r>
        <w:rPr>
          <w:sz w:val="22"/>
          <w:szCs w:val="22"/>
        </w:rPr>
        <w:t xml:space="preserve">NDIS Act 2013 (Cth)</w:t>
      </w:r>
    </w:p>
    <w:p>
      <w:pPr>
        <w:pStyle w:val="ListParagraph"/>
        <w:numPr>
          <w:ilvl w:val="0"/>
          <w:numId w:val="2"/>
        </w:numPr>
        <w:spacing w:after="80"/>
      </w:pPr>
      <w:r>
        <w:rPr>
          <w:sz w:val="22"/>
          <w:szCs w:val="22"/>
        </w:rPr>
        <w:t xml:space="preserve">Fair Work Act 2009 (Cth)</w:t>
      </w:r>
    </w:p>
    <w:p>
      <w:pPr>
        <w:pStyle w:val="ListParagraph"/>
        <w:numPr>
          <w:ilvl w:val="0"/>
          <w:numId w:val="2"/>
        </w:numPr>
        <w:spacing w:after="80"/>
      </w:pPr>
      <w:r>
        <w:rPr>
          <w:sz w:val="22"/>
          <w:szCs w:val="22"/>
        </w:rPr>
        <w:t xml:space="preserve">Work Health and Safety Act 2011 (NSW)</w:t>
      </w:r>
    </w:p>
    <w:p>
      <w:pPr>
        <w:pStyle w:val="ListParagraph"/>
        <w:numPr>
          <w:ilvl w:val="0"/>
          <w:numId w:val="2"/>
        </w:numPr>
        <w:spacing w:after="80"/>
      </w:pPr>
      <w:r>
        <w:rPr>
          <w:sz w:val="22"/>
          <w:szCs w:val="22"/>
        </w:rPr>
        <w:t xml:space="preserve">Anti-Discrimination Act 1977 (NSW)</w:t>
      </w:r>
    </w:p>
    <w:p>
      <w:pPr>
        <w:pStyle w:val="ListParagraph"/>
        <w:numPr>
          <w:ilvl w:val="0"/>
          <w:numId w:val="2"/>
        </w:numPr>
        <w:spacing w:after="80"/>
      </w:pPr>
      <w:r>
        <w:rPr>
          <w:sz w:val="22"/>
          <w:szCs w:val="22"/>
        </w:rPr>
        <w:t xml:space="preserve">Disability Discrimination Act 1992 (Cth)</w:t>
      </w:r>
    </w:p>
    <w:p>
      <w:pPr>
        <w:pStyle w:val="ListParagraph"/>
        <w:numPr>
          <w:ilvl w:val="0"/>
          <w:numId w:val="2"/>
        </w:numPr>
        <w:spacing w:after="80"/>
      </w:pPr>
      <w:r>
        <w:rPr>
          <w:sz w:val="22"/>
          <w:szCs w:val="22"/>
        </w:rPr>
        <w:t xml:space="preserve">Privacy Act 1988 (Cth)</w:t>
      </w:r>
    </w:p>
    <w:p>
      <w:pPr>
        <w:pStyle w:val="Heading1"/>
      </w:pPr>
      <w:r>
        <w:t xml:space="preserve">4. NDIS Code of Conduct Requirements</w:t>
      </w:r>
    </w:p>
    <w:p>
      <w:pPr>
        <w:spacing w:after="120"/>
      </w:pPr>
      <w:r>
        <w:rPr>
          <w:sz w:val="22"/>
          <w:szCs w:val="22"/>
        </w:rPr>
        <w:t xml:space="preserve">Under the NDIS Code of Conduct, all workers delivering NDIS supports and services must:</w:t>
      </w:r>
    </w:p>
    <w:p>
      <w:pPr>
        <w:pStyle w:val="Heading2"/>
      </w:pPr>
      <w:r>
        <w:t xml:space="preserve">4.1 Act with Respect</w:t>
      </w:r>
    </w:p>
    <w:p>
      <w:pPr>
        <w:pStyle w:val="ListParagraph"/>
        <w:numPr>
          <w:ilvl w:val="0"/>
          <w:numId w:val="2"/>
        </w:numPr>
        <w:spacing w:after="80"/>
      </w:pPr>
      <w:r>
        <w:rPr>
          <w:sz w:val="22"/>
          <w:szCs w:val="22"/>
        </w:rPr>
        <w:t xml:space="preserve">Respect the individual rights of people with disability to freedom of expression, self-determination, and decision-making in accordance with applicable laws and conventions</w:t>
      </w:r>
    </w:p>
    <w:p>
      <w:pPr>
        <w:pStyle w:val="ListParagraph"/>
        <w:numPr>
          <w:ilvl w:val="0"/>
          <w:numId w:val="2"/>
        </w:numPr>
        <w:spacing w:after="80"/>
      </w:pPr>
      <w:r>
        <w:rPr>
          <w:sz w:val="22"/>
          <w:szCs w:val="22"/>
        </w:rPr>
        <w:t xml:space="preserve">Respect cultural diversity, values, beliefs, and individual identity</w:t>
      </w:r>
    </w:p>
    <w:p>
      <w:pPr>
        <w:pStyle w:val="ListParagraph"/>
        <w:numPr>
          <w:ilvl w:val="0"/>
          <w:numId w:val="2"/>
        </w:numPr>
        <w:spacing w:after="80"/>
      </w:pPr>
      <w:r>
        <w:rPr>
          <w:sz w:val="22"/>
          <w:szCs w:val="22"/>
        </w:rPr>
        <w:t xml:space="preserve">Support participants to exercise choice and control over their supports</w:t>
      </w:r>
    </w:p>
    <w:p>
      <w:pPr>
        <w:pStyle w:val="ListParagraph"/>
        <w:numPr>
          <w:ilvl w:val="0"/>
          <w:numId w:val="2"/>
        </w:numPr>
        <w:spacing w:after="80"/>
      </w:pPr>
      <w:r>
        <w:rPr>
          <w:sz w:val="22"/>
          <w:szCs w:val="22"/>
        </w:rPr>
        <w:t xml:space="preserve">Communicate respectfully and in a manner appropriate to the participant</w:t>
      </w:r>
    </w:p>
    <w:p>
      <w:pPr>
        <w:pStyle w:val="Heading2"/>
      </w:pPr>
      <w:r>
        <w:t xml:space="preserve">4.2 Respect Privacy</w:t>
      </w:r>
    </w:p>
    <w:p>
      <w:pPr>
        <w:pStyle w:val="ListParagraph"/>
        <w:numPr>
          <w:ilvl w:val="0"/>
          <w:numId w:val="2"/>
        </w:numPr>
        <w:spacing w:after="80"/>
      </w:pPr>
      <w:r>
        <w:rPr>
          <w:sz w:val="22"/>
          <w:szCs w:val="22"/>
        </w:rPr>
        <w:t xml:space="preserve">Respect the privacy of people with disability</w:t>
      </w:r>
    </w:p>
    <w:p>
      <w:pPr>
        <w:pStyle w:val="ListParagraph"/>
        <w:numPr>
          <w:ilvl w:val="0"/>
          <w:numId w:val="2"/>
        </w:numPr>
        <w:spacing w:after="80"/>
      </w:pPr>
      <w:r>
        <w:rPr>
          <w:sz w:val="22"/>
          <w:szCs w:val="22"/>
        </w:rPr>
        <w:t xml:space="preserve">Only collect, use, and disclose personal information as authorised and necessary</w:t>
      </w:r>
    </w:p>
    <w:p>
      <w:pPr>
        <w:pStyle w:val="ListParagraph"/>
        <w:numPr>
          <w:ilvl w:val="0"/>
          <w:numId w:val="2"/>
        </w:numPr>
        <w:spacing w:after="80"/>
      </w:pPr>
      <w:r>
        <w:rPr>
          <w:sz w:val="22"/>
          <w:szCs w:val="22"/>
        </w:rPr>
        <w:t xml:space="preserve">Maintain confidentiality of participant information at all times</w:t>
      </w:r>
    </w:p>
    <w:p>
      <w:pPr>
        <w:pStyle w:val="ListParagraph"/>
        <w:numPr>
          <w:ilvl w:val="0"/>
          <w:numId w:val="2"/>
        </w:numPr>
        <w:spacing w:after="80"/>
      </w:pPr>
      <w:r>
        <w:rPr>
          <w:sz w:val="22"/>
          <w:szCs w:val="22"/>
        </w:rPr>
        <w:t xml:space="preserve">Not discuss participant information in public or with unauthorised persons</w:t>
      </w:r>
    </w:p>
    <w:p>
      <w:pPr>
        <w:pStyle w:val="Heading2"/>
      </w:pPr>
      <w:r>
        <w:t xml:space="preserve">4.3 Provide Safe and Competent Supports</w:t>
      </w:r>
    </w:p>
    <w:p>
      <w:pPr>
        <w:pStyle w:val="ListParagraph"/>
        <w:numPr>
          <w:ilvl w:val="0"/>
          <w:numId w:val="2"/>
        </w:numPr>
        <w:spacing w:after="80"/>
      </w:pPr>
      <w:r>
        <w:rPr>
          <w:sz w:val="22"/>
          <w:szCs w:val="22"/>
        </w:rPr>
        <w:t xml:space="preserve">Provide supports and services in a safe and competent manner with care and skill</w:t>
      </w:r>
    </w:p>
    <w:p>
      <w:pPr>
        <w:pStyle w:val="ListParagraph"/>
        <w:numPr>
          <w:ilvl w:val="0"/>
          <w:numId w:val="2"/>
        </w:numPr>
        <w:spacing w:after="80"/>
      </w:pPr>
      <w:r>
        <w:rPr>
          <w:sz w:val="22"/>
          <w:szCs w:val="22"/>
        </w:rPr>
        <w:t xml:space="preserve">Only deliver supports within their scope of competence and qualifications</w:t>
      </w:r>
    </w:p>
    <w:p>
      <w:pPr>
        <w:pStyle w:val="ListParagraph"/>
        <w:numPr>
          <w:ilvl w:val="0"/>
          <w:numId w:val="2"/>
        </w:numPr>
        <w:spacing w:after="80"/>
      </w:pPr>
      <w:r>
        <w:rPr>
          <w:sz w:val="22"/>
          <w:szCs w:val="22"/>
        </w:rPr>
        <w:t xml:space="preserve">Seek guidance when unsure about any aspect of support delivery</w:t>
      </w:r>
    </w:p>
    <w:p>
      <w:pPr>
        <w:pStyle w:val="ListParagraph"/>
        <w:numPr>
          <w:ilvl w:val="0"/>
          <w:numId w:val="2"/>
        </w:numPr>
        <w:spacing w:after="80"/>
      </w:pPr>
      <w:r>
        <w:rPr>
          <w:sz w:val="22"/>
          <w:szCs w:val="22"/>
        </w:rPr>
        <w:t xml:space="preserve">Maintain required qualifications, certifications, and training</w:t>
      </w:r>
    </w:p>
    <w:p>
      <w:pPr>
        <w:pStyle w:val="Heading2"/>
      </w:pPr>
      <w:r>
        <w:t xml:space="preserve">4.4 Act with Integrity</w:t>
      </w:r>
    </w:p>
    <w:p>
      <w:pPr>
        <w:pStyle w:val="ListParagraph"/>
        <w:numPr>
          <w:ilvl w:val="0"/>
          <w:numId w:val="2"/>
        </w:numPr>
        <w:spacing w:after="80"/>
      </w:pPr>
      <w:r>
        <w:rPr>
          <w:sz w:val="22"/>
          <w:szCs w:val="22"/>
        </w:rPr>
        <w:t xml:space="preserve">Act with integrity, honesty, and transparency</w:t>
      </w:r>
    </w:p>
    <w:p>
      <w:pPr>
        <w:pStyle w:val="ListParagraph"/>
        <w:numPr>
          <w:ilvl w:val="0"/>
          <w:numId w:val="2"/>
        </w:numPr>
        <w:spacing w:after="80"/>
      </w:pPr>
      <w:r>
        <w:rPr>
          <w:sz w:val="22"/>
          <w:szCs w:val="22"/>
        </w:rPr>
        <w:t xml:space="preserve">Declare any conflicts of interest</w:t>
      </w:r>
    </w:p>
    <w:p>
      <w:pPr>
        <w:pStyle w:val="ListParagraph"/>
        <w:numPr>
          <w:ilvl w:val="0"/>
          <w:numId w:val="2"/>
        </w:numPr>
        <w:spacing w:after="80"/>
      </w:pPr>
      <w:r>
        <w:rPr>
          <w:sz w:val="22"/>
          <w:szCs w:val="22"/>
        </w:rPr>
        <w:t xml:space="preserve">Not accept gifts or benefits that could be perceived to influence professional judgement</w:t>
      </w:r>
    </w:p>
    <w:p>
      <w:pPr>
        <w:pStyle w:val="ListParagraph"/>
        <w:numPr>
          <w:ilvl w:val="0"/>
          <w:numId w:val="2"/>
        </w:numPr>
        <w:spacing w:after="80"/>
      </w:pPr>
      <w:r>
        <w:rPr>
          <w:sz w:val="22"/>
          <w:szCs w:val="22"/>
        </w:rPr>
        <w:t xml:space="preserve">Maintain professional boundaries with participants at all times</w:t>
      </w:r>
    </w:p>
    <w:p>
      <w:pPr>
        <w:pStyle w:val="Heading2"/>
      </w:pPr>
      <w:r>
        <w:t xml:space="preserve">4.5 Raise and Act on Concerns</w:t>
      </w:r>
    </w:p>
    <w:p>
      <w:pPr>
        <w:pStyle w:val="ListParagraph"/>
        <w:numPr>
          <w:ilvl w:val="0"/>
          <w:numId w:val="2"/>
        </w:numPr>
        <w:spacing w:after="80"/>
      </w:pPr>
      <w:r>
        <w:rPr>
          <w:sz w:val="22"/>
          <w:szCs w:val="22"/>
        </w:rPr>
        <w:t xml:space="preserve">Promptly take steps to raise and act on concerns about matters that may impact the quality and safety of supports provided to people with disability</w:t>
      </w:r>
    </w:p>
    <w:p>
      <w:pPr>
        <w:pStyle w:val="ListParagraph"/>
        <w:numPr>
          <w:ilvl w:val="0"/>
          <w:numId w:val="2"/>
        </w:numPr>
        <w:spacing w:after="80"/>
      </w:pPr>
      <w:r>
        <w:rPr>
          <w:sz w:val="22"/>
          <w:szCs w:val="22"/>
        </w:rPr>
        <w:t xml:space="preserve">Report concerns through appropriate internal and external channels</w:t>
      </w:r>
    </w:p>
    <w:p>
      <w:pPr>
        <w:pStyle w:val="ListParagraph"/>
        <w:numPr>
          <w:ilvl w:val="0"/>
          <w:numId w:val="2"/>
        </w:numPr>
        <w:spacing w:after="80"/>
      </w:pPr>
      <w:r>
        <w:rPr>
          <w:sz w:val="22"/>
          <w:szCs w:val="22"/>
        </w:rPr>
        <w:t xml:space="preserve">Cooperate with any investigations or audits</w:t>
      </w:r>
    </w:p>
    <w:p>
      <w:pPr>
        <w:pStyle w:val="Heading2"/>
      </w:pPr>
      <w:r>
        <w:t xml:space="preserve">4.6 Prevent and Respond to Violence, Abuse, Neglect and Exploitation</w:t>
      </w:r>
    </w:p>
    <w:p>
      <w:pPr>
        <w:pStyle w:val="ListParagraph"/>
        <w:numPr>
          <w:ilvl w:val="0"/>
          <w:numId w:val="2"/>
        </w:numPr>
        <w:spacing w:after="80"/>
      </w:pPr>
      <w:r>
        <w:rPr>
          <w:sz w:val="22"/>
          <w:szCs w:val="22"/>
        </w:rPr>
        <w:t xml:space="preserve">Take all reasonable steps to prevent and respond to all forms of violence against, and exploitation, neglect, and abuse of people with disability</w:t>
      </w:r>
    </w:p>
    <w:p>
      <w:pPr>
        <w:pStyle w:val="ListParagraph"/>
        <w:numPr>
          <w:ilvl w:val="0"/>
          <w:numId w:val="2"/>
        </w:numPr>
        <w:spacing w:after="80"/>
      </w:pPr>
      <w:r>
        <w:rPr>
          <w:sz w:val="22"/>
          <w:szCs w:val="22"/>
        </w:rPr>
        <w:t xml:space="preserve">Report any suspected or witnessed abuse, neglect, violence, or exploitation immediately</w:t>
      </w:r>
    </w:p>
    <w:p>
      <w:pPr>
        <w:pStyle w:val="ListParagraph"/>
        <w:numPr>
          <w:ilvl w:val="0"/>
          <w:numId w:val="2"/>
        </w:numPr>
        <w:spacing w:after="80"/>
      </w:pPr>
      <w:r>
        <w:rPr>
          <w:sz w:val="22"/>
          <w:szCs w:val="22"/>
        </w:rPr>
        <w:t xml:space="preserve">Not engage in any form of abuse, neglect, violence, exploitation, or discrimination</w:t>
      </w:r>
    </w:p>
    <w:p>
      <w:pPr>
        <w:pStyle w:val="Heading2"/>
      </w:pPr>
      <w:r>
        <w:t xml:space="preserve">4.7 Prevent and Respond to Sexual Misconduct</w:t>
      </w:r>
    </w:p>
    <w:p>
      <w:pPr>
        <w:pStyle w:val="ListParagraph"/>
        <w:numPr>
          <w:ilvl w:val="0"/>
          <w:numId w:val="2"/>
        </w:numPr>
        <w:spacing w:after="80"/>
      </w:pPr>
      <w:r>
        <w:rPr>
          <w:sz w:val="22"/>
          <w:szCs w:val="22"/>
        </w:rPr>
        <w:t xml:space="preserve">Take all reasonable steps to prevent and respond to sexual misconduct</w:t>
      </w:r>
    </w:p>
    <w:p>
      <w:pPr>
        <w:pStyle w:val="ListParagraph"/>
        <w:numPr>
          <w:ilvl w:val="0"/>
          <w:numId w:val="2"/>
        </w:numPr>
        <w:spacing w:after="80"/>
      </w:pPr>
      <w:r>
        <w:rPr>
          <w:sz w:val="22"/>
          <w:szCs w:val="22"/>
        </w:rPr>
        <w:t xml:space="preserve">Maintain appropriate professional boundaries</w:t>
      </w:r>
    </w:p>
    <w:p>
      <w:pPr>
        <w:pStyle w:val="ListParagraph"/>
        <w:numPr>
          <w:ilvl w:val="0"/>
          <w:numId w:val="2"/>
        </w:numPr>
        <w:spacing w:after="80"/>
      </w:pPr>
      <w:r>
        <w:rPr>
          <w:sz w:val="22"/>
          <w:szCs w:val="22"/>
        </w:rPr>
        <w:t xml:space="preserve">Not engage in any sexual activity with participants</w:t>
      </w:r>
    </w:p>
    <w:p>
      <w:pPr>
        <w:pStyle w:val="Heading1"/>
      </w:pPr>
      <w:r>
        <w:t xml:space="preserve">5. Additional Conduct Requirements</w:t>
      </w:r>
    </w:p>
    <w:p>
      <w:pPr>
        <w:pStyle w:val="Heading2"/>
      </w:pPr>
      <w:r>
        <w:t xml:space="preserve">5.1 Professional Boundaries</w:t>
      </w:r>
    </w:p>
    <w:p>
      <w:pPr>
        <w:spacing w:after="120"/>
      </w:pPr>
      <w:r>
        <w:rPr>
          <w:sz w:val="22"/>
          <w:szCs w:val="22"/>
        </w:rPr>
        <w:t xml:space="preserve">Workers must maintain clear professional boundaries including:</w:t>
      </w:r>
    </w:p>
    <w:p>
      <w:pPr>
        <w:pStyle w:val="ListParagraph"/>
        <w:numPr>
          <w:ilvl w:val="0"/>
          <w:numId w:val="2"/>
        </w:numPr>
        <w:spacing w:after="80"/>
      </w:pPr>
      <w:r>
        <w:rPr>
          <w:sz w:val="22"/>
          <w:szCs w:val="22"/>
        </w:rPr>
        <w:t xml:space="preserve">Not forming personal or romantic relationships with participants</w:t>
      </w:r>
    </w:p>
    <w:p>
      <w:pPr>
        <w:pStyle w:val="ListParagraph"/>
        <w:numPr>
          <w:ilvl w:val="0"/>
          <w:numId w:val="2"/>
        </w:numPr>
        <w:spacing w:after="80"/>
      </w:pPr>
      <w:r>
        <w:rPr>
          <w:sz w:val="22"/>
          <w:szCs w:val="22"/>
        </w:rPr>
        <w:t xml:space="preserve">Not engaging in financial transactions with participants outside of authorised support activities</w:t>
      </w:r>
    </w:p>
    <w:p>
      <w:pPr>
        <w:pStyle w:val="ListParagraph"/>
        <w:numPr>
          <w:ilvl w:val="0"/>
          <w:numId w:val="2"/>
        </w:numPr>
        <w:spacing w:after="80"/>
      </w:pPr>
      <w:r>
        <w:rPr>
          <w:sz w:val="22"/>
          <w:szCs w:val="22"/>
        </w:rPr>
        <w:t xml:space="preserve">Not using social media to connect with participants in a personal capacity</w:t>
      </w:r>
    </w:p>
    <w:p>
      <w:pPr>
        <w:pStyle w:val="ListParagraph"/>
        <w:numPr>
          <w:ilvl w:val="0"/>
          <w:numId w:val="2"/>
        </w:numPr>
        <w:spacing w:after="80"/>
      </w:pPr>
      <w:r>
        <w:rPr>
          <w:sz w:val="22"/>
          <w:szCs w:val="22"/>
        </w:rPr>
        <w:t xml:space="preserve">Not consuming alcohol or illicit drugs before or during shifts</w:t>
      </w:r>
    </w:p>
    <w:p>
      <w:pPr>
        <w:pStyle w:val="ListParagraph"/>
        <w:numPr>
          <w:ilvl w:val="0"/>
          <w:numId w:val="2"/>
        </w:numPr>
        <w:spacing w:after="80"/>
      </w:pPr>
      <w:r>
        <w:rPr>
          <w:sz w:val="22"/>
          <w:szCs w:val="22"/>
        </w:rPr>
        <w:t xml:space="preserve">Not attending work under the influence of substances that impair their capacity to provide safe supports</w:t>
      </w:r>
    </w:p>
    <w:p>
      <w:pPr>
        <w:pStyle w:val="Heading2"/>
      </w:pPr>
      <w:r>
        <w:t xml:space="preserve">5.2 Use of Technology</w:t>
      </w:r>
    </w:p>
    <w:p>
      <w:pPr>
        <w:pStyle w:val="ListParagraph"/>
        <w:numPr>
          <w:ilvl w:val="0"/>
          <w:numId w:val="2"/>
        </w:numPr>
        <w:spacing w:after="80"/>
      </w:pPr>
      <w:r>
        <w:rPr>
          <w:sz w:val="22"/>
          <w:szCs w:val="22"/>
        </w:rPr>
        <w:t xml:space="preserve">Not photographing or recording participants without explicit consent</w:t>
      </w:r>
    </w:p>
    <w:p>
      <w:pPr>
        <w:pStyle w:val="ListParagraph"/>
        <w:numPr>
          <w:ilvl w:val="0"/>
          <w:numId w:val="2"/>
        </w:numPr>
        <w:spacing w:after="80"/>
      </w:pPr>
      <w:r>
        <w:rPr>
          <w:sz w:val="22"/>
          <w:szCs w:val="22"/>
        </w:rPr>
        <w:t xml:space="preserve">Not sharing participant information via personal devices or social media</w:t>
      </w:r>
    </w:p>
    <w:p>
      <w:pPr>
        <w:pStyle w:val="ListParagraph"/>
        <w:numPr>
          <w:ilvl w:val="0"/>
          <w:numId w:val="2"/>
        </w:numPr>
        <w:spacing w:after="80"/>
      </w:pPr>
      <w:r>
        <w:rPr>
          <w:sz w:val="22"/>
          <w:szCs w:val="22"/>
        </w:rPr>
        <w:t xml:space="preserve">Using organisational communication channels for work-related matters</w:t>
      </w:r>
    </w:p>
    <w:p>
      <w:pPr>
        <w:pStyle w:val="Heading2"/>
      </w:pPr>
      <w:r>
        <w:t xml:space="preserve">5.3 Attendance and Reliability</w:t>
      </w:r>
    </w:p>
    <w:p>
      <w:pPr>
        <w:pStyle w:val="ListParagraph"/>
        <w:numPr>
          <w:ilvl w:val="0"/>
          <w:numId w:val="2"/>
        </w:numPr>
        <w:spacing w:after="80"/>
      </w:pPr>
      <w:r>
        <w:rPr>
          <w:sz w:val="22"/>
          <w:szCs w:val="22"/>
        </w:rPr>
        <w:t xml:space="preserve">Attend work as rostered and be punctual</w:t>
      </w:r>
    </w:p>
    <w:p>
      <w:pPr>
        <w:pStyle w:val="ListParagraph"/>
        <w:numPr>
          <w:ilvl w:val="0"/>
          <w:numId w:val="2"/>
        </w:numPr>
        <w:spacing w:after="80"/>
      </w:pPr>
      <w:r>
        <w:rPr>
          <w:sz w:val="22"/>
          <w:szCs w:val="22"/>
        </w:rPr>
        <w:t xml:space="preserve">Notify the Director as soon as practicable if unable to attend a scheduled shift</w:t>
      </w:r>
    </w:p>
    <w:p>
      <w:pPr>
        <w:pStyle w:val="ListParagraph"/>
        <w:numPr>
          <w:ilvl w:val="0"/>
          <w:numId w:val="2"/>
        </w:numPr>
        <w:spacing w:after="80"/>
      </w:pPr>
      <w:r>
        <w:rPr>
          <w:sz w:val="22"/>
          <w:szCs w:val="22"/>
        </w:rPr>
        <w:t xml:space="preserve">Present in a manner that is clean, neat, and appropriate for the role</w:t>
      </w:r>
    </w:p>
    <w:p>
      <w:pPr>
        <w:pStyle w:val="Heading1"/>
      </w:pPr>
      <w:r>
        <w:t xml:space="preserve">6. Breaches of the Code of Conduct</w:t>
      </w:r>
    </w:p>
    <w:p>
      <w:pPr>
        <w:spacing w:after="120"/>
      </w:pPr>
      <w:r>
        <w:rPr>
          <w:sz w:val="22"/>
          <w:szCs w:val="22"/>
        </w:rPr>
        <w:t xml:space="preserve">Breaches of this Code of Conduct are treated seriously and may result in:</w:t>
      </w:r>
    </w:p>
    <w:p>
      <w:pPr>
        <w:pStyle w:val="ListParagraph"/>
        <w:numPr>
          <w:ilvl w:val="0"/>
          <w:numId w:val="2"/>
        </w:numPr>
        <w:spacing w:after="80"/>
      </w:pPr>
      <w:r>
        <w:rPr>
          <w:sz w:val="22"/>
          <w:szCs w:val="22"/>
        </w:rPr>
        <w:t xml:space="preserve">Counselling and additional training</w:t>
      </w:r>
    </w:p>
    <w:p>
      <w:pPr>
        <w:pStyle w:val="ListParagraph"/>
        <w:numPr>
          <w:ilvl w:val="0"/>
          <w:numId w:val="2"/>
        </w:numPr>
        <w:spacing w:after="80"/>
      </w:pPr>
      <w:r>
        <w:rPr>
          <w:sz w:val="22"/>
          <w:szCs w:val="22"/>
        </w:rPr>
        <w:t xml:space="preserve">Formal warning</w:t>
      </w:r>
    </w:p>
    <w:p>
      <w:pPr>
        <w:pStyle w:val="ListParagraph"/>
        <w:numPr>
          <w:ilvl w:val="0"/>
          <w:numId w:val="2"/>
        </w:numPr>
        <w:spacing w:after="80"/>
      </w:pPr>
      <w:r>
        <w:rPr>
          <w:sz w:val="22"/>
          <w:szCs w:val="22"/>
        </w:rPr>
        <w:t xml:space="preserve">Performance management</w:t>
      </w:r>
    </w:p>
    <w:p>
      <w:pPr>
        <w:pStyle w:val="ListParagraph"/>
        <w:numPr>
          <w:ilvl w:val="0"/>
          <w:numId w:val="2"/>
        </w:numPr>
        <w:spacing w:after="80"/>
      </w:pPr>
      <w:r>
        <w:rPr>
          <w:sz w:val="22"/>
          <w:szCs w:val="22"/>
        </w:rPr>
        <w:t xml:space="preserve">Suspension pending investigation</w:t>
      </w:r>
    </w:p>
    <w:p>
      <w:pPr>
        <w:pStyle w:val="ListParagraph"/>
        <w:numPr>
          <w:ilvl w:val="0"/>
          <w:numId w:val="2"/>
        </w:numPr>
        <w:spacing w:after="80"/>
      </w:pPr>
      <w:r>
        <w:rPr>
          <w:sz w:val="22"/>
          <w:szCs w:val="22"/>
        </w:rPr>
        <w:t xml:space="preserve">Termination of employment or engagement</w:t>
      </w:r>
    </w:p>
    <w:p>
      <w:pPr>
        <w:pStyle w:val="ListParagraph"/>
        <w:numPr>
          <w:ilvl w:val="0"/>
          <w:numId w:val="2"/>
        </w:numPr>
        <w:spacing w:after="80"/>
      </w:pPr>
      <w:r>
        <w:rPr>
          <w:sz w:val="22"/>
          <w:szCs w:val="22"/>
        </w:rPr>
        <w:t xml:space="preserve">Reporting to the NDIS Commission, police, or other relevant authorities</w:t>
      </w:r>
    </w:p>
    <w:p>
      <w:pPr>
        <w:spacing w:after="120"/>
      </w:pPr>
      <w:r>
        <w:rPr>
          <w:sz w:val="22"/>
          <w:szCs w:val="22"/>
        </w:rPr>
        <w:t xml:space="preserve">Workers are protected from adverse action for reporting concerns in good faith (whistleblower protections apply).</w:t>
      </w:r>
    </w:p>
    <w:p>
      <w:pPr>
        <w:pStyle w:val="Heading1"/>
      </w:pPr>
      <w:r>
        <w:t xml:space="preserve">7. Responsibilities</w:t>
      </w:r>
    </w:p>
    <w:p>
      <w:pPr>
        <w:spacing w:after="120"/>
      </w:pPr>
      <w:r>
        <w:rPr>
          <w:b/>
          <w:bCs/>
          <w:sz w:val="22"/>
          <w:szCs w:val="22"/>
        </w:rPr>
        <w:t xml:space="preserve">Director: </w:t>
      </w:r>
      <w:r>
        <w:rPr>
          <w:sz w:val="22"/>
          <w:szCs w:val="22"/>
        </w:rPr>
        <w:t xml:space="preserve">Model expected behaviour, ensure all workers receive and acknowledge the Code of Conduct, investigate breaches, and take appropriate action.</w:t>
      </w:r>
    </w:p>
    <w:p>
      <w:pPr>
        <w:spacing w:after="120"/>
      </w:pPr>
      <w:r>
        <w:rPr>
          <w:b/>
          <w:bCs/>
          <w:sz w:val="22"/>
          <w:szCs w:val="22"/>
        </w:rPr>
        <w:t xml:space="preserve">Workers: </w:t>
      </w:r>
      <w:r>
        <w:rPr>
          <w:sz w:val="22"/>
          <w:szCs w:val="22"/>
        </w:rPr>
        <w:t xml:space="preserve">Read, understand, and comply with this Code of Conduct, report breaches or concerns, and participate in training.</w:t>
      </w:r>
    </w:p>
    <w:p>
      <w:pPr>
        <w:pStyle w:val="Heading1"/>
      </w:pPr>
      <w:r>
        <w:t xml:space="preserve">8. Related Documents</w:t>
      </w:r>
    </w:p>
    <w:p>
      <w:pPr>
        <w:pStyle w:val="ListParagraph"/>
        <w:numPr>
          <w:ilvl w:val="0"/>
          <w:numId w:val="2"/>
        </w:numPr>
        <w:spacing w:after="80"/>
      </w:pPr>
      <w:r>
        <w:rPr>
          <w:sz w:val="22"/>
          <w:szCs w:val="22"/>
        </w:rPr>
        <w:t xml:space="preserve">POL-GOV-001 Governance Framework Policy</w:t>
      </w:r>
    </w:p>
    <w:p>
      <w:pPr>
        <w:pStyle w:val="ListParagraph"/>
        <w:numPr>
          <w:ilvl w:val="0"/>
          <w:numId w:val="2"/>
        </w:numPr>
        <w:spacing w:after="80"/>
      </w:pPr>
      <w:r>
        <w:rPr>
          <w:sz w:val="22"/>
          <w:szCs w:val="22"/>
        </w:rPr>
        <w:t xml:space="preserve">POL-HR-005 Workplace Bullying, Harassment and Discrimination Policy</w:t>
      </w:r>
    </w:p>
    <w:p>
      <w:pPr>
        <w:pStyle w:val="ListParagraph"/>
        <w:numPr>
          <w:ilvl w:val="0"/>
          <w:numId w:val="2"/>
        </w:numPr>
        <w:spacing w:after="80"/>
      </w:pPr>
      <w:r>
        <w:rPr>
          <w:sz w:val="22"/>
          <w:szCs w:val="22"/>
        </w:rPr>
        <w:t xml:space="preserve">POL-RS-005 Abuse, Neglect and Exploitation Prevention Policy</w:t>
      </w:r>
    </w:p>
    <w:p>
      <w:pPr>
        <w:pStyle w:val="ListParagraph"/>
        <w:numPr>
          <w:ilvl w:val="0"/>
          <w:numId w:val="2"/>
        </w:numPr>
        <w:spacing w:after="80"/>
      </w:pPr>
      <w:r>
        <w:rPr>
          <w:sz w:val="22"/>
          <w:szCs w:val="22"/>
        </w:rPr>
        <w:t xml:space="preserve">POL-HR-002 Recruitment, Screening and Selection Policy</w:t>
      </w:r>
    </w:p>
    <w:p>
      <w:pPr>
        <w:pStyle w:val="ListParagraph"/>
        <w:numPr>
          <w:ilvl w:val="0"/>
          <w:numId w:val="2"/>
        </w:numPr>
        <w:spacing w:after="80"/>
      </w:pPr>
      <w:r>
        <w:rPr>
          <w:sz w:val="22"/>
          <w:szCs w:val="22"/>
        </w:rPr>
        <w:t xml:space="preserve">Worker Code of Conduct Acknowledgement Form</w:t>
      </w:r>
    </w:p>
    <w:p>
      <w:pPr>
        <w:pStyle w:val="Heading1"/>
      </w:pPr>
      <w:r>
        <w:t xml:space="preserve">9. Review</w:t>
      </w:r>
    </w:p>
    <w:p>
      <w:pPr>
        <w:spacing w:after="120"/>
      </w:pPr>
      <w:r>
        <w:rPr>
          <w:sz w:val="22"/>
          <w:szCs w:val="22"/>
        </w:rPr>
        <w:t xml:space="preserve">This policy will be reviewed annually or sooner following changes to the NDIS Code of Conduct, legislation, or following a significant conduct breach.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POL-HR-001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Code of Conduct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2026-03-11T06:55:02.189Z</dcterms:created>
  <dcterms:modified xsi:type="dcterms:W3CDTF">2026-03-11T06:55:02.189Z</dcterms:modified>
</cp:coreProperties>
</file>

<file path=docProps/custom.xml><?xml version="1.0" encoding="utf-8"?>
<Properties xmlns="http://schemas.openxmlformats.org/officeDocument/2006/custom-properties" xmlns:vt="http://schemas.openxmlformats.org/officeDocument/2006/docPropsVTypes"/>
</file>