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TRAINING AND PROFESSIONAL DEVELOPMENT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POL-HR-004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all workers maintain and develop the competencies required to deliver safe, effective, and person-centred supports to NDIS participants. Ongoing training and professional development is a key requirement of the NDIS Practice Standards and contributes to quality outcomes for participants.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workers of Asina Disability Services.</w:t>
      </w:r>
    </w:p>
    <w:p>
      <w:pPr>
        <w:pStyle w:val="Heading1"/>
      </w:pPr>
      <w:r>
        <w:t xml:space="preserve">3. Policy Statement</w:t>
      </w:r>
    </w:p>
    <w:p>
      <w:pPr>
        <w:pStyle w:val="Heading2"/>
      </w:pPr>
      <w:r>
        <w:t xml:space="preserve">3.1 Mandatory Training</w:t>
      </w:r>
    </w:p>
    <w:p>
      <w:pPr>
        <w:spacing w:after="120"/>
      </w:pPr>
      <w:r>
        <w:rPr>
          <w:sz w:val="22"/>
          <w:szCs w:val="22"/>
        </w:rPr>
        <w:t xml:space="preserve">All workers must complete and maintain currency in the following mandatory training: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Worker Orientation Module (Quality, Safety and You) - upon commencement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Code of Conduct training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 Health and Safety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Aid and CPR - current certification maintained at all times (renewed every 3 years for First Aid, annually for CPR)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Handling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Infection Prevention and Control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Reporting and Management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 Management - where role requires (upon commencement and annually)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Restrictive Practices Awareness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Abuse, Neglect and Exploitation Prevention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Cultural Safety and Diversity - upon commencement and as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Privacy and Confidentiality - upon commencement and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Fire Safety and Emergency Procedures - upon commencement and annually</w:t>
      </w:r>
    </w:p>
    <w:p>
      <w:pPr>
        <w:pStyle w:val="Heading2"/>
      </w:pPr>
      <w:r>
        <w:t xml:space="preserve">3.2 Role-Specific Training</w:t>
      </w:r>
    </w:p>
    <w:p>
      <w:pPr>
        <w:spacing w:after="120"/>
      </w:pPr>
      <w:r>
        <w:rPr>
          <w:sz w:val="22"/>
          <w:szCs w:val="22"/>
        </w:rPr>
        <w:t xml:space="preserve">Workers receive additional training based on their role and the participants they support: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Behaviour support plan implementation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Complex health care needs (e.g., epilepsy management, diabetes management, PEG feeding)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Mealtime management and dysphagia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Mental health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Autism spectrum and specific disability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Assistive technology use</w:t>
      </w:r>
    </w:p>
    <w:p>
      <w:pPr>
        <w:pStyle w:val="Heading2"/>
      </w:pPr>
      <w:r>
        <w:t xml:space="preserve">3.3 Supervision and Performance Development</w:t>
      </w:r>
    </w:p>
    <w:p>
      <w:pPr>
        <w:spacing w:after="120"/>
      </w:pPr>
      <w:r>
        <w:rPr>
          <w:sz w:val="22"/>
          <w:szCs w:val="22"/>
        </w:rPr>
        <w:t xml:space="preserve">Regular supervision supports professional development: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Formal supervision sessions at least monthly for the first 6 months, then quarterly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Supervision covers performance, wellbeing, professional development, and participant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Supervision is documented and signed by both parties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performance reviews with development goals</w:t>
      </w:r>
    </w:p>
    <w:p>
      <w:pPr>
        <w:pStyle w:val="Heading2"/>
      </w:pPr>
      <w:r>
        <w:t xml:space="preserve">3.4 Training Register</w:t>
      </w:r>
    </w:p>
    <w:p>
      <w:pPr>
        <w:spacing w:after="120"/>
      </w:pPr>
      <w:r>
        <w:rPr>
          <w:sz w:val="22"/>
          <w:szCs w:val="22"/>
        </w:rPr>
        <w:t xml:space="preserve">A Training Register is maintained for all workers documenting: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completed, dates, and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Qualification expiry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gaps and planned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Competency assessment outcomes</w:t>
      </w:r>
    </w:p>
    <w:p>
      <w:pPr>
        <w:pStyle w:val="Heading1"/>
      </w:pPr>
      <w:r>
        <w:t xml:space="preserve">4.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adequate training budget, approve the annual training plan, maintain the Training Register, conduct supervision and performance reviews, and identify training needs.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Complete mandatory and role-specific training, maintain current qualifications, participate in supervision and performance reviews, and identify their own development needs.</w:t>
      </w:r>
    </w:p>
    <w:p>
      <w:pPr>
        <w:pStyle w:val="Heading1"/>
      </w:pPr>
      <w:r>
        <w:t xml:space="preserve">5.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POL-HR-001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POL-HR-003 Worker Induction and Orientation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Supervision Record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Performance Review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Plan</w:t>
      </w:r>
    </w:p>
    <w:p>
      <w:pPr>
        <w:pStyle w:val="Heading1"/>
      </w:pPr>
      <w:r>
        <w:t xml:space="preserve">6.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audit findings, changes to training requirements, or identified competency gaps.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POL-HR-004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Training and Professional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2026-03-11T06:55:02.408Z</dcterms:created>
  <dcterms:modified xsi:type="dcterms:W3CDTF">2026-03-11T06:55:02.408Z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