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WORKER WELLBEING AND SUPPORT</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POL-HR-008</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Asina Disability Services' commitment to supporting the physical, psychological, and emotional wellbeing of all workers. The organisation recognises that disability support work can be emotionally demanding and that worker wellbeing is essential to delivering safe, quality supports to NDIS participants.</w:t>
      </w:r>
    </w:p>
    <w:p>
      <w:pPr>
        <w:pStyle w:val="Heading1"/>
      </w:pPr>
      <w:r>
        <w:t xml:space="preserve">2. Scope</w:t>
      </w:r>
    </w:p>
    <w:p>
      <w:pPr>
        <w:spacing w:after="120"/>
      </w:pPr>
      <w:r>
        <w:rPr>
          <w:sz w:val="22"/>
          <w:szCs w:val="22"/>
        </w:rPr>
        <w:t xml:space="preserve">This policy applies to all workers of Asina Disability Services.</w:t>
      </w:r>
    </w:p>
    <w:p>
      <w:pPr>
        <w:pStyle w:val="Heading1"/>
      </w:pPr>
      <w:r>
        <w:t xml:space="preserve">3. Legislative and Standards Framework</w:t>
      </w:r>
    </w:p>
    <w:p>
      <w:pPr>
        <w:pStyle w:val="ListParagraph"/>
        <w:numPr>
          <w:ilvl w:val="0"/>
          <w:numId w:val="2"/>
        </w:numPr>
        <w:spacing w:after="80"/>
      </w:pPr>
      <w:r>
        <w:rPr>
          <w:sz w:val="22"/>
          <w:szCs w:val="22"/>
        </w:rPr>
        <w:t xml:space="preserve">Work Health and Safety Act 2011 (NSW) - including psychosocial hazard regulations</w:t>
      </w:r>
    </w:p>
    <w:p>
      <w:pPr>
        <w:pStyle w:val="ListParagraph"/>
        <w:numPr>
          <w:ilvl w:val="0"/>
          <w:numId w:val="2"/>
        </w:numPr>
        <w:spacing w:after="80"/>
      </w:pPr>
      <w:r>
        <w:rPr>
          <w:sz w:val="22"/>
          <w:szCs w:val="22"/>
        </w:rPr>
        <w:t xml:space="preserve">Work Health and Safety Regulation 2017 (NSW) - Chapter 3A (Psychosocial Risks)</w:t>
      </w:r>
    </w:p>
    <w:p>
      <w:pPr>
        <w:pStyle w:val="ListParagraph"/>
        <w:numPr>
          <w:ilvl w:val="0"/>
          <w:numId w:val="2"/>
        </w:numPr>
        <w:spacing w:after="80"/>
      </w:pPr>
      <w:r>
        <w:rPr>
          <w:sz w:val="22"/>
          <w:szCs w:val="22"/>
        </w:rPr>
        <w:t xml:space="preserve">SafeWork NSW Code of Practice: Managing Psychosocial Hazards at Work</w:t>
      </w:r>
    </w:p>
    <w:p>
      <w:pPr>
        <w:pStyle w:val="ListParagraph"/>
        <w:numPr>
          <w:ilvl w:val="0"/>
          <w:numId w:val="2"/>
        </w:numPr>
        <w:spacing w:after="80"/>
      </w:pPr>
      <w:r>
        <w:rPr>
          <w:sz w:val="22"/>
          <w:szCs w:val="22"/>
        </w:rPr>
        <w:t xml:space="preserve">Fair Work Act 2009 (Cth)</w:t>
      </w:r>
    </w:p>
    <w:p>
      <w:pPr>
        <w:pStyle w:val="ListParagraph"/>
        <w:numPr>
          <w:ilvl w:val="0"/>
          <w:numId w:val="2"/>
        </w:numPr>
        <w:spacing w:after="80"/>
      </w:pPr>
      <w:r>
        <w:rPr>
          <w:sz w:val="22"/>
          <w:szCs w:val="22"/>
        </w:rPr>
        <w:t xml:space="preserve">NDIS Practice Standards - Core Module: Human Resource Management</w:t>
      </w:r>
    </w:p>
    <w:p>
      <w:pPr>
        <w:pStyle w:val="Heading1"/>
      </w:pPr>
      <w:r>
        <w:t xml:space="preserve">4. Policy Statement</w:t>
      </w:r>
    </w:p>
    <w:p>
      <w:pPr>
        <w:pStyle w:val="Heading2"/>
      </w:pPr>
      <w:r>
        <w:t xml:space="preserve">4.1 Psychosocial Safety</w:t>
      </w:r>
    </w:p>
    <w:p>
      <w:pPr>
        <w:spacing w:after="120"/>
      </w:pPr>
      <w:r>
        <w:rPr>
          <w:sz w:val="22"/>
          <w:szCs w:val="22"/>
        </w:rPr>
        <w:t xml:space="preserve">Asina Disability Services identifies and manages psychosocial hazards in accordance with the WHS Act and Regulation, including:</w:t>
      </w:r>
    </w:p>
    <w:p>
      <w:pPr>
        <w:pStyle w:val="ListParagraph"/>
        <w:numPr>
          <w:ilvl w:val="0"/>
          <w:numId w:val="2"/>
        </w:numPr>
        <w:spacing w:after="80"/>
      </w:pPr>
      <w:r>
        <w:rPr>
          <w:sz w:val="22"/>
          <w:szCs w:val="22"/>
        </w:rPr>
        <w:t xml:space="preserve">High job demands (emotional, mental, physical)</w:t>
      </w:r>
    </w:p>
    <w:p>
      <w:pPr>
        <w:pStyle w:val="ListParagraph"/>
        <w:numPr>
          <w:ilvl w:val="0"/>
          <w:numId w:val="2"/>
        </w:numPr>
        <w:spacing w:after="80"/>
      </w:pPr>
      <w:r>
        <w:rPr>
          <w:sz w:val="22"/>
          <w:szCs w:val="22"/>
        </w:rPr>
        <w:t xml:space="preserve">Exposure to traumatic events, aggressive behaviour, or distressing situations</w:t>
      </w:r>
    </w:p>
    <w:p>
      <w:pPr>
        <w:pStyle w:val="ListParagraph"/>
        <w:numPr>
          <w:ilvl w:val="0"/>
          <w:numId w:val="2"/>
        </w:numPr>
        <w:spacing w:after="80"/>
      </w:pPr>
      <w:r>
        <w:rPr>
          <w:sz w:val="22"/>
          <w:szCs w:val="22"/>
        </w:rPr>
        <w:t xml:space="preserve">Lone working and remote or isolated work</w:t>
      </w:r>
    </w:p>
    <w:p>
      <w:pPr>
        <w:pStyle w:val="ListParagraph"/>
        <w:numPr>
          <w:ilvl w:val="0"/>
          <w:numId w:val="2"/>
        </w:numPr>
        <w:spacing w:after="80"/>
      </w:pPr>
      <w:r>
        <w:rPr>
          <w:sz w:val="22"/>
          <w:szCs w:val="22"/>
        </w:rPr>
        <w:t xml:space="preserve">Fatigue from shift work, irregular hours, or excessive workload</w:t>
      </w:r>
    </w:p>
    <w:p>
      <w:pPr>
        <w:pStyle w:val="ListParagraph"/>
        <w:numPr>
          <w:ilvl w:val="0"/>
          <w:numId w:val="2"/>
        </w:numPr>
        <w:spacing w:after="80"/>
      </w:pPr>
      <w:r>
        <w:rPr>
          <w:sz w:val="22"/>
          <w:szCs w:val="22"/>
        </w:rPr>
        <w:t xml:space="preserve">Bullying, harassment, or conflict (see POL-HR-005)</w:t>
      </w:r>
    </w:p>
    <w:p>
      <w:pPr>
        <w:pStyle w:val="ListParagraph"/>
        <w:numPr>
          <w:ilvl w:val="0"/>
          <w:numId w:val="2"/>
        </w:numPr>
        <w:spacing w:after="80"/>
      </w:pPr>
      <w:r>
        <w:rPr>
          <w:sz w:val="22"/>
          <w:szCs w:val="22"/>
        </w:rPr>
        <w:t xml:space="preserve">Lack of role clarity, support, or recognition</w:t>
      </w:r>
    </w:p>
    <w:p>
      <w:pPr>
        <w:spacing w:after="120"/>
      </w:pPr>
      <w:r>
        <w:rPr>
          <w:sz w:val="22"/>
          <w:szCs w:val="22"/>
        </w:rPr>
        <w:t xml:space="preserve">Psychosocial risk assessments are conducted as part of the organisation's risk management framework and reviewed when job roles or conditions change.</w:t>
      </w:r>
    </w:p>
    <w:p>
      <w:pPr>
        <w:pStyle w:val="Heading2"/>
      </w:pPr>
      <w:r>
        <w:t xml:space="preserve">4.2 Supervision and Support</w:t>
      </w:r>
    </w:p>
    <w:p>
      <w:pPr>
        <w:spacing w:after="120"/>
      </w:pPr>
      <w:r>
        <w:rPr>
          <w:sz w:val="22"/>
          <w:szCs w:val="22"/>
        </w:rPr>
        <w:t xml:space="preserve">Workers receive regular support through:</w:t>
      </w:r>
    </w:p>
    <w:p>
      <w:pPr>
        <w:pStyle w:val="ListParagraph"/>
        <w:numPr>
          <w:ilvl w:val="0"/>
          <w:numId w:val="2"/>
        </w:numPr>
        <w:spacing w:after="80"/>
      </w:pPr>
      <w:r>
        <w:rPr>
          <w:sz w:val="22"/>
          <w:szCs w:val="22"/>
        </w:rPr>
        <w:t xml:space="preserve">Formal supervision sessions (monthly for the first 6 months, then quarterly as a minimum)</w:t>
      </w:r>
    </w:p>
    <w:p>
      <w:pPr>
        <w:pStyle w:val="ListParagraph"/>
        <w:numPr>
          <w:ilvl w:val="0"/>
          <w:numId w:val="2"/>
        </w:numPr>
        <w:spacing w:after="80"/>
      </w:pPr>
      <w:r>
        <w:rPr>
          <w:sz w:val="22"/>
          <w:szCs w:val="22"/>
        </w:rPr>
        <w:t xml:space="preserve">Supervision covers workload, professional development, emotional wellbeing, and any participant-related concerns</w:t>
      </w:r>
    </w:p>
    <w:p>
      <w:pPr>
        <w:pStyle w:val="ListParagraph"/>
        <w:numPr>
          <w:ilvl w:val="0"/>
          <w:numId w:val="2"/>
        </w:numPr>
        <w:spacing w:after="80"/>
      </w:pPr>
      <w:r>
        <w:rPr>
          <w:sz w:val="22"/>
          <w:szCs w:val="22"/>
        </w:rPr>
        <w:t xml:space="preserve">An open-door approach where workers can raise concerns at any time</w:t>
      </w:r>
    </w:p>
    <w:p>
      <w:pPr>
        <w:pStyle w:val="ListParagraph"/>
        <w:numPr>
          <w:ilvl w:val="0"/>
          <w:numId w:val="2"/>
        </w:numPr>
        <w:spacing w:after="80"/>
      </w:pPr>
      <w:r>
        <w:rPr>
          <w:sz w:val="22"/>
          <w:szCs w:val="22"/>
        </w:rPr>
        <w:t xml:space="preserve">Team meetings that include wellbeing check-ins</w:t>
      </w:r>
    </w:p>
    <w:p>
      <w:pPr>
        <w:pStyle w:val="ListParagraph"/>
        <w:numPr>
          <w:ilvl w:val="0"/>
          <w:numId w:val="2"/>
        </w:numPr>
        <w:spacing w:after="80"/>
      </w:pPr>
      <w:r>
        <w:rPr>
          <w:sz w:val="22"/>
          <w:szCs w:val="22"/>
        </w:rPr>
        <w:t xml:space="preserve">Peer support is encouraged and facilitated where possible</w:t>
      </w:r>
    </w:p>
    <w:p>
      <w:pPr>
        <w:pStyle w:val="Heading2"/>
      </w:pPr>
      <w:r>
        <w:t xml:space="preserve">4.3 Critical Incident Debriefing</w:t>
      </w:r>
    </w:p>
    <w:p>
      <w:pPr>
        <w:spacing w:after="120"/>
      </w:pPr>
      <w:r>
        <w:rPr>
          <w:sz w:val="22"/>
          <w:szCs w:val="22"/>
        </w:rPr>
        <w:t xml:space="preserve">Following a critical incident (e.g., participant death, serious injury, assault, restraint use):</w:t>
      </w:r>
    </w:p>
    <w:p>
      <w:pPr>
        <w:pStyle w:val="ListParagraph"/>
        <w:numPr>
          <w:ilvl w:val="0"/>
          <w:numId w:val="2"/>
        </w:numPr>
        <w:spacing w:after="80"/>
      </w:pPr>
      <w:r>
        <w:rPr>
          <w:sz w:val="22"/>
          <w:szCs w:val="22"/>
        </w:rPr>
        <w:t xml:space="preserve">An immediate operational debrief is conducted within 24 hours to review the response</w:t>
      </w:r>
    </w:p>
    <w:p>
      <w:pPr>
        <w:pStyle w:val="ListParagraph"/>
        <w:numPr>
          <w:ilvl w:val="0"/>
          <w:numId w:val="2"/>
        </w:numPr>
        <w:spacing w:after="80"/>
      </w:pPr>
      <w:r>
        <w:rPr>
          <w:sz w:val="22"/>
          <w:szCs w:val="22"/>
        </w:rPr>
        <w:t xml:space="preserve">A psychological debrief or wellbeing check-in is offered to all workers involved within 48-72 hours</w:t>
      </w:r>
    </w:p>
    <w:p>
      <w:pPr>
        <w:pStyle w:val="ListParagraph"/>
        <w:numPr>
          <w:ilvl w:val="0"/>
          <w:numId w:val="2"/>
        </w:numPr>
        <w:spacing w:after="80"/>
      </w:pPr>
      <w:r>
        <w:rPr>
          <w:sz w:val="22"/>
          <w:szCs w:val="22"/>
        </w:rPr>
        <w:t xml:space="preserve">Follow-up support is provided in the days and weeks following</w:t>
      </w:r>
    </w:p>
    <w:p>
      <w:pPr>
        <w:pStyle w:val="ListParagraph"/>
        <w:numPr>
          <w:ilvl w:val="0"/>
          <w:numId w:val="2"/>
        </w:numPr>
        <w:spacing w:after="80"/>
      </w:pPr>
      <w:r>
        <w:rPr>
          <w:sz w:val="22"/>
          <w:szCs w:val="22"/>
        </w:rPr>
        <w:t xml:space="preserve">Workers are informed of available support services</w:t>
      </w:r>
    </w:p>
    <w:p>
      <w:pPr>
        <w:pStyle w:val="ListParagraph"/>
        <w:numPr>
          <w:ilvl w:val="0"/>
          <w:numId w:val="2"/>
        </w:numPr>
        <w:spacing w:after="80"/>
      </w:pPr>
      <w:r>
        <w:rPr>
          <w:sz w:val="22"/>
          <w:szCs w:val="22"/>
        </w:rPr>
        <w:t xml:space="preserve">Workload adjustments are made where needed</w:t>
      </w:r>
    </w:p>
    <w:p>
      <w:pPr>
        <w:pStyle w:val="Heading2"/>
      </w:pPr>
      <w:r>
        <w:t xml:space="preserve">4.4 Employee Assistance Program</w:t>
      </w:r>
    </w:p>
    <w:p>
      <w:pPr>
        <w:spacing w:after="120"/>
      </w:pPr>
      <w:r>
        <w:rPr>
          <w:sz w:val="22"/>
          <w:szCs w:val="22"/>
        </w:rPr>
        <w:t xml:space="preserve">Asina Disability Services provides access to confidential counselling and support services:</w:t>
      </w:r>
    </w:p>
    <w:p>
      <w:pPr>
        <w:pStyle w:val="ListParagraph"/>
        <w:numPr>
          <w:ilvl w:val="0"/>
          <w:numId w:val="2"/>
        </w:numPr>
        <w:spacing w:after="80"/>
      </w:pPr>
      <w:r>
        <w:rPr>
          <w:sz w:val="22"/>
          <w:szCs w:val="22"/>
        </w:rPr>
        <w:t xml:space="preserve">Workers can access counselling for work-related or personal issues</w:t>
      </w:r>
    </w:p>
    <w:p>
      <w:pPr>
        <w:pStyle w:val="ListParagraph"/>
        <w:numPr>
          <w:ilvl w:val="0"/>
          <w:numId w:val="2"/>
        </w:numPr>
        <w:spacing w:after="80"/>
      </w:pPr>
      <w:r>
        <w:rPr>
          <w:sz w:val="22"/>
          <w:szCs w:val="22"/>
        </w:rPr>
        <w:t xml:space="preserve">The service is free, confidential, and available to all workers and their immediate family members</w:t>
      </w:r>
    </w:p>
    <w:p>
      <w:pPr>
        <w:pStyle w:val="ListParagraph"/>
        <w:numPr>
          <w:ilvl w:val="0"/>
          <w:numId w:val="2"/>
        </w:numPr>
        <w:spacing w:after="80"/>
      </w:pPr>
      <w:r>
        <w:rPr>
          <w:sz w:val="22"/>
          <w:szCs w:val="22"/>
        </w:rPr>
        <w:t xml:space="preserve">Information about the service is provided during induction and displayed at workplaces</w:t>
      </w:r>
    </w:p>
    <w:p>
      <w:pPr>
        <w:pStyle w:val="ListParagraph"/>
        <w:numPr>
          <w:ilvl w:val="0"/>
          <w:numId w:val="2"/>
        </w:numPr>
        <w:spacing w:after="80"/>
      </w:pPr>
      <w:r>
        <w:rPr>
          <w:sz w:val="22"/>
          <w:szCs w:val="22"/>
        </w:rPr>
        <w:t xml:space="preserve">Usage of the service is not disclosed to the organisation</w:t>
      </w:r>
    </w:p>
    <w:p>
      <w:pPr>
        <w:pStyle w:val="Heading2"/>
      </w:pPr>
      <w:r>
        <w:t xml:space="preserve">4.5 Work-Life Balance</w:t>
      </w:r>
    </w:p>
    <w:p>
      <w:pPr>
        <w:pStyle w:val="ListParagraph"/>
        <w:numPr>
          <w:ilvl w:val="0"/>
          <w:numId w:val="2"/>
        </w:numPr>
        <w:spacing w:after="80"/>
      </w:pPr>
      <w:r>
        <w:rPr>
          <w:sz w:val="22"/>
          <w:szCs w:val="22"/>
        </w:rPr>
        <w:t xml:space="preserve">Rosters are developed with consideration for worker preferences and work-life balance</w:t>
      </w:r>
    </w:p>
    <w:p>
      <w:pPr>
        <w:pStyle w:val="ListParagraph"/>
        <w:numPr>
          <w:ilvl w:val="0"/>
          <w:numId w:val="2"/>
        </w:numPr>
        <w:spacing w:after="80"/>
      </w:pPr>
      <w:r>
        <w:rPr>
          <w:sz w:val="22"/>
          <w:szCs w:val="22"/>
        </w:rPr>
        <w:t xml:space="preserve">Adequate breaks are provided between shifts in accordance with the SCHADS Award (minimum 8-hour break between shifts)</w:t>
      </w:r>
    </w:p>
    <w:p>
      <w:pPr>
        <w:pStyle w:val="ListParagraph"/>
        <w:numPr>
          <w:ilvl w:val="0"/>
          <w:numId w:val="2"/>
        </w:numPr>
        <w:spacing w:after="80"/>
      </w:pPr>
      <w:r>
        <w:rPr>
          <w:sz w:val="22"/>
          <w:szCs w:val="22"/>
        </w:rPr>
        <w:t xml:space="preserve">Overtime is managed responsibly and not expected as routine</w:t>
      </w:r>
    </w:p>
    <w:p>
      <w:pPr>
        <w:pStyle w:val="ListParagraph"/>
        <w:numPr>
          <w:ilvl w:val="0"/>
          <w:numId w:val="2"/>
        </w:numPr>
        <w:spacing w:after="80"/>
      </w:pPr>
      <w:r>
        <w:rPr>
          <w:sz w:val="22"/>
          <w:szCs w:val="22"/>
        </w:rPr>
        <w:t xml:space="preserve">Annual leave is actively encouraged to support rest and recovery</w:t>
      </w:r>
    </w:p>
    <w:p>
      <w:pPr>
        <w:pStyle w:val="Heading2"/>
      </w:pPr>
      <w:r>
        <w:t xml:space="preserve">4.6 Fatigue Management</w:t>
      </w:r>
    </w:p>
    <w:p>
      <w:pPr>
        <w:pStyle w:val="ListParagraph"/>
        <w:numPr>
          <w:ilvl w:val="0"/>
          <w:numId w:val="2"/>
        </w:numPr>
        <w:spacing w:after="80"/>
      </w:pPr>
      <w:r>
        <w:rPr>
          <w:sz w:val="22"/>
          <w:szCs w:val="22"/>
        </w:rPr>
        <w:t xml:space="preserve">Workers must not work excessive hours that could impair their ability to provide safe supports</w:t>
      </w:r>
    </w:p>
    <w:p>
      <w:pPr>
        <w:pStyle w:val="ListParagraph"/>
        <w:numPr>
          <w:ilvl w:val="0"/>
          <w:numId w:val="2"/>
        </w:numPr>
        <w:spacing w:after="80"/>
      </w:pPr>
      <w:r>
        <w:rPr>
          <w:sz w:val="22"/>
          <w:szCs w:val="22"/>
        </w:rPr>
        <w:t xml:space="preserve">Maximum shift length is 12 hours unless exceptional circumstances apply</w:t>
      </w:r>
    </w:p>
    <w:p>
      <w:pPr>
        <w:pStyle w:val="ListParagraph"/>
        <w:numPr>
          <w:ilvl w:val="0"/>
          <w:numId w:val="2"/>
        </w:numPr>
        <w:spacing w:after="80"/>
      </w:pPr>
      <w:r>
        <w:rPr>
          <w:sz w:val="22"/>
          <w:szCs w:val="22"/>
        </w:rPr>
        <w:t xml:space="preserve">Sleepover arrangements comply with the SCHADS Award provisions</w:t>
      </w:r>
    </w:p>
    <w:p>
      <w:pPr>
        <w:pStyle w:val="ListParagraph"/>
        <w:numPr>
          <w:ilvl w:val="0"/>
          <w:numId w:val="2"/>
        </w:numPr>
        <w:spacing w:after="80"/>
      </w:pPr>
      <w:r>
        <w:rPr>
          <w:sz w:val="22"/>
          <w:szCs w:val="22"/>
        </w:rPr>
        <w:t xml:space="preserve">Workers are encouraged to report fatigue concerns without fear of reprisal</w:t>
      </w:r>
    </w:p>
    <w:p>
      <w:pPr>
        <w:pStyle w:val="Heading1"/>
      </w:pPr>
      <w:r>
        <w:t xml:space="preserve">5. Responsibilities</w:t>
      </w:r>
    </w:p>
    <w:p>
      <w:pPr>
        <w:spacing w:after="120"/>
      </w:pPr>
      <w:r>
        <w:rPr>
          <w:b/>
          <w:bCs/>
          <w:sz w:val="22"/>
          <w:szCs w:val="22"/>
        </w:rPr>
        <w:t xml:space="preserve">Director: </w:t>
      </w:r>
      <w:r>
        <w:rPr>
          <w:sz w:val="22"/>
          <w:szCs w:val="22"/>
        </w:rPr>
        <w:t xml:space="preserve">Identify and manage psychosocial hazards, provide supervision and support, organise debriefing after critical incidents, maintain access to an EAP or counselling service, and develop rosters that support worker wellbeing.</w:t>
      </w:r>
    </w:p>
    <w:p>
      <w:pPr>
        <w:spacing w:after="120"/>
      </w:pPr>
      <w:r>
        <w:rPr>
          <w:b/>
          <w:bCs/>
          <w:sz w:val="22"/>
          <w:szCs w:val="22"/>
        </w:rPr>
        <w:t xml:space="preserve">Workers: </w:t>
      </w:r>
      <w:r>
        <w:rPr>
          <w:sz w:val="22"/>
          <w:szCs w:val="22"/>
        </w:rPr>
        <w:t xml:space="preserve">Participate in supervision, raise wellbeing concerns, access support services when needed, manage personal fatigue, and support colleagues.</w:t>
      </w:r>
    </w:p>
    <w:p>
      <w:pPr>
        <w:pStyle w:val="Heading1"/>
      </w:pPr>
      <w:r>
        <w:t xml:space="preserve">6. Related Documents</w:t>
      </w:r>
    </w:p>
    <w:p>
      <w:pPr>
        <w:pStyle w:val="ListParagraph"/>
        <w:numPr>
          <w:ilvl w:val="0"/>
          <w:numId w:val="2"/>
        </w:numPr>
        <w:spacing w:after="80"/>
      </w:pPr>
      <w:r>
        <w:rPr>
          <w:sz w:val="22"/>
          <w:szCs w:val="22"/>
        </w:rPr>
        <w:t xml:space="preserve">POL-WHS-001 Work Health and Safety Policy</w:t>
      </w:r>
    </w:p>
    <w:p>
      <w:pPr>
        <w:pStyle w:val="ListParagraph"/>
        <w:numPr>
          <w:ilvl w:val="0"/>
          <w:numId w:val="2"/>
        </w:numPr>
        <w:spacing w:after="80"/>
      </w:pPr>
      <w:r>
        <w:rPr>
          <w:sz w:val="22"/>
          <w:szCs w:val="22"/>
        </w:rPr>
        <w:t xml:space="preserve">POL-HR-004 Training and Professional Development Policy</w:t>
      </w:r>
    </w:p>
    <w:p>
      <w:pPr>
        <w:pStyle w:val="ListParagraph"/>
        <w:numPr>
          <w:ilvl w:val="0"/>
          <w:numId w:val="2"/>
        </w:numPr>
        <w:spacing w:after="80"/>
      </w:pPr>
      <w:r>
        <w:rPr>
          <w:sz w:val="22"/>
          <w:szCs w:val="22"/>
        </w:rPr>
        <w:t xml:space="preserve">POL-HR-005 Workplace Bullying, Harassment and Discrimination Policy</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Supervision Record Template</w:t>
      </w:r>
    </w:p>
    <w:p>
      <w:pPr>
        <w:pStyle w:val="Heading1"/>
      </w:pPr>
      <w:r>
        <w:t xml:space="preserve">7. Review</w:t>
      </w:r>
    </w:p>
    <w:p>
      <w:pPr>
        <w:spacing w:after="120"/>
      </w:pPr>
      <w:r>
        <w:rPr>
          <w:sz w:val="22"/>
          <w:szCs w:val="22"/>
        </w:rPr>
        <w:t xml:space="preserve">This policy will be reviewed annually or sooner following WHS legislative changes (particularly psychosocial hazard regulations), critical incidents, or worker feedback.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POL-HR-008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Worker Wellbeing and Support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2026-03-11T07:10:25.298Z</dcterms:created>
  <dcterms:modified xsi:type="dcterms:W3CDTF">2026-03-11T07:10:25.298Z</dcterms:modified>
</cp:coreProperties>
</file>

<file path=docProps/custom.xml><?xml version="1.0" encoding="utf-8"?>
<Properties xmlns="http://schemas.openxmlformats.org/officeDocument/2006/custom-properties" xmlns:vt="http://schemas.openxmlformats.org/officeDocument/2006/docPropsVTypes"/>
</file>