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ALCOHOL AND OTHER DRUGS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a safe workplace that is free from the adverse effects of alcohol and other drugs (AOD). Asina Disability Services recognises that the safety of NDIS participants is paramount, and that impairment from alcohol or drugs poses an unacceptable risk to participants, workers, and others.</w:t>
      </w:r>
    </w:p>
    <w:p>
      <w:pPr>
        <w:pStyle w:val="Heading1"/>
      </w:pPr>
      <w:r>
        <w:t xml:space="preserve">2. Scope</w:t>
      </w:r>
    </w:p>
    <w:p>
      <w:pPr>
        <w:spacing w:after="120"/>
      </w:pPr>
      <w:r>
        <w:rPr>
          <w:sz w:val="22"/>
          <w:szCs w:val="22"/>
        </w:rPr>
        <w:t xml:space="preserve">This policy applies to all workers at all times when they are performing duties for Asina Disability Services, including travel to and from work-related activities.</w:t>
      </w:r>
    </w:p>
    <w:p>
      <w:pPr>
        <w:pStyle w:val="Heading1"/>
      </w:pPr>
      <w:r>
        <w:t xml:space="preserve">3. Legislative and Standards Framework</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NDIS Practice Standards</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Road Transport Act 2013 (NSW)</w:t>
      </w:r>
    </w:p>
    <w:p>
      <w:pPr>
        <w:pStyle w:val="Heading1"/>
      </w:pPr>
      <w:r>
        <w:t xml:space="preserve">4. Policy Statement</w:t>
      </w:r>
    </w:p>
    <w:p>
      <w:pPr>
        <w:pStyle w:val="Heading2"/>
      </w:pPr>
      <w:r>
        <w:t xml:space="preserve">4.1 Prohibited Conduct</w:t>
      </w:r>
    </w:p>
    <w:p>
      <w:pPr>
        <w:spacing w:after="120"/>
      </w:pPr>
      <w:r>
        <w:rPr>
          <w:sz w:val="22"/>
          <w:szCs w:val="22"/>
        </w:rPr>
        <w:t xml:space="preserve">Workers must not:</w:t>
      </w:r>
    </w:p>
    <w:p>
      <w:pPr>
        <w:pStyle w:val="ListParagraph"/>
        <w:numPr>
          <w:ilvl w:val="0"/>
          <w:numId w:val="2"/>
        </w:numPr>
        <w:spacing w:after="80"/>
      </w:pPr>
      <w:r>
        <w:rPr>
          <w:sz w:val="22"/>
          <w:szCs w:val="22"/>
        </w:rPr>
        <w:t xml:space="preserve">Attend work or deliver supports while under the influence of alcohol or illicit drugs</w:t>
      </w:r>
    </w:p>
    <w:p>
      <w:pPr>
        <w:pStyle w:val="ListParagraph"/>
        <w:numPr>
          <w:ilvl w:val="0"/>
          <w:numId w:val="2"/>
        </w:numPr>
        <w:spacing w:after="80"/>
      </w:pPr>
      <w:r>
        <w:rPr>
          <w:sz w:val="22"/>
          <w:szCs w:val="22"/>
        </w:rPr>
        <w:t xml:space="preserve">Consume alcohol or illicit drugs during work hours, including during breaks taken during a shift</w:t>
      </w:r>
    </w:p>
    <w:p>
      <w:pPr>
        <w:pStyle w:val="ListParagraph"/>
        <w:numPr>
          <w:ilvl w:val="0"/>
          <w:numId w:val="2"/>
        </w:numPr>
        <w:spacing w:after="80"/>
      </w:pPr>
      <w:r>
        <w:rPr>
          <w:sz w:val="22"/>
          <w:szCs w:val="22"/>
        </w:rPr>
        <w:t xml:space="preserve">Consume alcohol immediately before commencing a shift where it could impair their capacity to work safely</w:t>
      </w:r>
    </w:p>
    <w:p>
      <w:pPr>
        <w:pStyle w:val="ListParagraph"/>
        <w:numPr>
          <w:ilvl w:val="0"/>
          <w:numId w:val="2"/>
        </w:numPr>
        <w:spacing w:after="80"/>
      </w:pPr>
      <w:r>
        <w:rPr>
          <w:sz w:val="22"/>
          <w:szCs w:val="22"/>
        </w:rPr>
        <w:t xml:space="preserve">Use, possess, distribute, or sell illicit drugs at any workplace or during any work-related activity</w:t>
      </w:r>
    </w:p>
    <w:p>
      <w:pPr>
        <w:pStyle w:val="ListParagraph"/>
        <w:numPr>
          <w:ilvl w:val="0"/>
          <w:numId w:val="2"/>
        </w:numPr>
        <w:spacing w:after="80"/>
      </w:pPr>
      <w:r>
        <w:rPr>
          <w:sz w:val="22"/>
          <w:szCs w:val="22"/>
        </w:rPr>
        <w:t xml:space="preserve">Drive a vehicle for work purposes while affected by alcohol or drugs (legal blood alcohol limit of 0.00 applies when transporting participants)</w:t>
      </w:r>
    </w:p>
    <w:p>
      <w:pPr>
        <w:pStyle w:val="Heading2"/>
      </w:pPr>
      <w:r>
        <w:t xml:space="preserve">4.2 Prescription and Over-the-Counter Medications</w:t>
      </w:r>
    </w:p>
    <w:p>
      <w:pPr>
        <w:spacing w:after="120"/>
      </w:pPr>
      <w:r>
        <w:rPr>
          <w:sz w:val="22"/>
          <w:szCs w:val="22"/>
        </w:rPr>
        <w:t xml:space="preserve">Workers who are taking prescription or over-the-counter medications that may affect their ability to work safely must:</w:t>
      </w:r>
    </w:p>
    <w:p>
      <w:pPr>
        <w:pStyle w:val="ListParagraph"/>
        <w:numPr>
          <w:ilvl w:val="0"/>
          <w:numId w:val="2"/>
        </w:numPr>
        <w:spacing w:after="80"/>
      </w:pPr>
      <w:r>
        <w:rPr>
          <w:sz w:val="22"/>
          <w:szCs w:val="22"/>
        </w:rPr>
        <w:t xml:space="preserve">Inform the Director if the medication may impair their alertness, judgement, coordination, or ability to provide safe supports</w:t>
      </w:r>
    </w:p>
    <w:p>
      <w:pPr>
        <w:pStyle w:val="ListParagraph"/>
        <w:numPr>
          <w:ilvl w:val="0"/>
          <w:numId w:val="2"/>
        </w:numPr>
        <w:spacing w:after="80"/>
      </w:pPr>
      <w:r>
        <w:rPr>
          <w:sz w:val="22"/>
          <w:szCs w:val="22"/>
        </w:rPr>
        <w:t xml:space="preserve">Follow their doctor's advice regarding working while taking the medication</w:t>
      </w:r>
    </w:p>
    <w:p>
      <w:pPr>
        <w:pStyle w:val="ListParagraph"/>
        <w:numPr>
          <w:ilvl w:val="0"/>
          <w:numId w:val="2"/>
        </w:numPr>
        <w:spacing w:after="80"/>
      </w:pPr>
      <w:r>
        <w:rPr>
          <w:sz w:val="22"/>
          <w:szCs w:val="22"/>
        </w:rPr>
        <w:t xml:space="preserve">Not operate vehicles or equipment if the medication may impair their ability to do so safely</w:t>
      </w:r>
    </w:p>
    <w:p>
      <w:pPr>
        <w:spacing w:after="120"/>
      </w:pPr>
      <w:r>
        <w:rPr>
          <w:sz w:val="22"/>
          <w:szCs w:val="22"/>
        </w:rPr>
        <w:t xml:space="preserve">Asina Disability Services will make reasonable adjustments where possible, such as temporary modified duties, while maintaining participant safety.</w:t>
      </w:r>
    </w:p>
    <w:p>
      <w:pPr>
        <w:pStyle w:val="Heading2"/>
      </w:pPr>
      <w:r>
        <w:t xml:space="preserve">4.3 Support for Workers</w:t>
      </w:r>
    </w:p>
    <w:p>
      <w:pPr>
        <w:spacing w:after="120"/>
      </w:pPr>
      <w:r>
        <w:rPr>
          <w:sz w:val="22"/>
          <w:szCs w:val="22"/>
        </w:rPr>
        <w:t xml:space="preserve">Asina Disability Services takes a supportive approach to workers who disclose AOD issues:</w:t>
      </w:r>
    </w:p>
    <w:p>
      <w:pPr>
        <w:pStyle w:val="ListParagraph"/>
        <w:numPr>
          <w:ilvl w:val="0"/>
          <w:numId w:val="2"/>
        </w:numPr>
        <w:spacing w:after="80"/>
      </w:pPr>
      <w:r>
        <w:rPr>
          <w:sz w:val="22"/>
          <w:szCs w:val="22"/>
        </w:rPr>
        <w:t xml:space="preserve">Workers are encouraged to seek help for AOD concerns without fear of automatic disciplinary action</w:t>
      </w:r>
    </w:p>
    <w:p>
      <w:pPr>
        <w:pStyle w:val="ListParagraph"/>
        <w:numPr>
          <w:ilvl w:val="0"/>
          <w:numId w:val="2"/>
        </w:numPr>
        <w:spacing w:after="80"/>
      </w:pPr>
      <w:r>
        <w:rPr>
          <w:sz w:val="22"/>
          <w:szCs w:val="22"/>
        </w:rPr>
        <w:t xml:space="preserve">Access to counselling and support services is provided through the EAP or equivalent service</w:t>
      </w:r>
    </w:p>
    <w:p>
      <w:pPr>
        <w:pStyle w:val="ListParagraph"/>
        <w:numPr>
          <w:ilvl w:val="0"/>
          <w:numId w:val="2"/>
        </w:numPr>
        <w:spacing w:after="80"/>
      </w:pPr>
      <w:r>
        <w:rPr>
          <w:sz w:val="22"/>
          <w:szCs w:val="22"/>
        </w:rPr>
        <w:t xml:space="preserve">The organisation will work with the worker on a support plan where appropriate</w:t>
      </w:r>
    </w:p>
    <w:p>
      <w:pPr>
        <w:pStyle w:val="ListParagraph"/>
        <w:numPr>
          <w:ilvl w:val="0"/>
          <w:numId w:val="2"/>
        </w:numPr>
        <w:spacing w:after="80"/>
      </w:pPr>
      <w:r>
        <w:rPr>
          <w:sz w:val="22"/>
          <w:szCs w:val="22"/>
        </w:rPr>
        <w:t xml:space="preserve">Confidentiality is maintained to the extent possible, consistent with safety obligations</w:t>
      </w:r>
    </w:p>
    <w:p>
      <w:pPr>
        <w:spacing w:after="120"/>
      </w:pPr>
      <w:r>
        <w:rPr>
          <w:sz w:val="22"/>
          <w:szCs w:val="22"/>
        </w:rPr>
        <w:t xml:space="preserve">However, support does not override the obligation to ensure participant safety. A worker who attends work impaired may be stood down pending assessment.</w:t>
      </w:r>
    </w:p>
    <w:p>
      <w:pPr>
        <w:pStyle w:val="Heading2"/>
      </w:pPr>
      <w:r>
        <w:t xml:space="preserve">4.4 Reasonable Suspicion</w:t>
      </w:r>
    </w:p>
    <w:p>
      <w:pPr>
        <w:spacing w:after="120"/>
      </w:pPr>
      <w:r>
        <w:rPr>
          <w:sz w:val="22"/>
          <w:szCs w:val="22"/>
        </w:rPr>
        <w:t xml:space="preserve">If a worker is reasonably suspected of being impaired by alcohol or drugs at work:</w:t>
      </w:r>
    </w:p>
    <w:p>
      <w:pPr>
        <w:pStyle w:val="ListParagraph"/>
        <w:numPr>
          <w:ilvl w:val="0"/>
          <w:numId w:val="3"/>
        </w:numPr>
        <w:spacing w:after="80"/>
      </w:pPr>
      <w:r>
        <w:rPr>
          <w:sz w:val="22"/>
          <w:szCs w:val="22"/>
        </w:rPr>
        <w:t xml:space="preserve">The worker is approached privately and their condition is assessed.</w:t>
      </w:r>
    </w:p>
    <w:p>
      <w:pPr>
        <w:pStyle w:val="ListParagraph"/>
        <w:numPr>
          <w:ilvl w:val="0"/>
          <w:numId w:val="3"/>
        </w:numPr>
        <w:spacing w:after="80"/>
      </w:pPr>
      <w:r>
        <w:rPr>
          <w:sz w:val="22"/>
          <w:szCs w:val="22"/>
        </w:rPr>
        <w:t xml:space="preserve">If impairment is suspected, the worker is removed from participant-facing duties immediately.</w:t>
      </w:r>
    </w:p>
    <w:p>
      <w:pPr>
        <w:pStyle w:val="ListParagraph"/>
        <w:numPr>
          <w:ilvl w:val="0"/>
          <w:numId w:val="3"/>
        </w:numPr>
        <w:spacing w:after="80"/>
      </w:pPr>
      <w:r>
        <w:rPr>
          <w:sz w:val="22"/>
          <w:szCs w:val="22"/>
        </w:rPr>
        <w:t xml:space="preserve">The worker is not permitted to drive and safe transport home is arranged.</w:t>
      </w:r>
    </w:p>
    <w:p>
      <w:pPr>
        <w:pStyle w:val="ListParagraph"/>
        <w:numPr>
          <w:ilvl w:val="0"/>
          <w:numId w:val="3"/>
        </w:numPr>
        <w:spacing w:after="80"/>
      </w:pPr>
      <w:r>
        <w:rPr>
          <w:sz w:val="22"/>
          <w:szCs w:val="22"/>
        </w:rPr>
        <w:t xml:space="preserve">The matter is documented and investigated.</w:t>
      </w:r>
    </w:p>
    <w:p>
      <w:pPr>
        <w:pStyle w:val="ListParagraph"/>
        <w:numPr>
          <w:ilvl w:val="0"/>
          <w:numId w:val="3"/>
        </w:numPr>
        <w:spacing w:after="80"/>
      </w:pPr>
      <w:r>
        <w:rPr>
          <w:sz w:val="22"/>
          <w:szCs w:val="22"/>
        </w:rPr>
        <w:t xml:space="preserve">A meeting is held with the worker to discuss the incident and determine the appropriate response.</w:t>
      </w:r>
    </w:p>
    <w:p>
      <w:pPr>
        <w:pStyle w:val="Heading1"/>
      </w:pPr>
      <w:r>
        <w:t xml:space="preserve">5. Breaches</w:t>
      </w:r>
    </w:p>
    <w:p>
      <w:pPr>
        <w:spacing w:after="120"/>
      </w:pPr>
      <w:r>
        <w:rPr>
          <w:sz w:val="22"/>
          <w:szCs w:val="22"/>
        </w:rPr>
        <w:t xml:space="preserve">Breaches of this policy are treated seriously due to the safety implications:</w:t>
      </w:r>
    </w:p>
    <w:p>
      <w:pPr>
        <w:pStyle w:val="ListParagraph"/>
        <w:numPr>
          <w:ilvl w:val="0"/>
          <w:numId w:val="2"/>
        </w:numPr>
        <w:spacing w:after="80"/>
      </w:pPr>
      <w:r>
        <w:rPr>
          <w:sz w:val="22"/>
          <w:szCs w:val="22"/>
        </w:rPr>
        <w:t xml:space="preserve">First offence (no harm caused): Formal warning, mandatory AOD assessment, and support plan</w:t>
      </w:r>
    </w:p>
    <w:p>
      <w:pPr>
        <w:pStyle w:val="ListParagraph"/>
        <w:numPr>
          <w:ilvl w:val="0"/>
          <w:numId w:val="2"/>
        </w:numPr>
        <w:spacing w:after="80"/>
      </w:pPr>
      <w:r>
        <w:rPr>
          <w:sz w:val="22"/>
          <w:szCs w:val="22"/>
        </w:rPr>
        <w:t xml:space="preserve">Serious offence or repeat offence: Termination of employment or engagement</w:t>
      </w:r>
    </w:p>
    <w:p>
      <w:pPr>
        <w:pStyle w:val="ListParagraph"/>
        <w:numPr>
          <w:ilvl w:val="0"/>
          <w:numId w:val="2"/>
        </w:numPr>
        <w:spacing w:after="80"/>
      </w:pPr>
      <w:r>
        <w:rPr>
          <w:sz w:val="22"/>
          <w:szCs w:val="22"/>
        </w:rPr>
        <w:t xml:space="preserve">Any offence that results in harm to a participant: Immediate stand-down, investigation, and likely termination, with reporting to the NDIS Commission and police as appropriate</w:t>
      </w:r>
    </w:p>
    <w:p>
      <w:pPr>
        <w:pStyle w:val="Heading1"/>
      </w:pPr>
      <w:r>
        <w:t xml:space="preserve">6. Responsibilities</w:t>
      </w:r>
    </w:p>
    <w:p>
      <w:pPr>
        <w:spacing w:after="120"/>
      </w:pPr>
      <w:r>
        <w:rPr>
          <w:b/>
          <w:bCs/>
          <w:sz w:val="22"/>
          <w:szCs w:val="22"/>
        </w:rPr>
        <w:t xml:space="preserve">Director: </w:t>
      </w:r>
      <w:r>
        <w:rPr>
          <w:sz w:val="22"/>
          <w:szCs w:val="22"/>
        </w:rPr>
        <w:t xml:space="preserve">Implement and enforce this policy, respond to suspected impairment, ensure worker support is available, and investigate breaches.</w:t>
      </w:r>
    </w:p>
    <w:p>
      <w:pPr>
        <w:spacing w:after="120"/>
      </w:pPr>
      <w:r>
        <w:rPr>
          <w:b/>
          <w:bCs/>
          <w:sz w:val="22"/>
          <w:szCs w:val="22"/>
        </w:rPr>
        <w:t xml:space="preserve">Workers: </w:t>
      </w:r>
      <w:r>
        <w:rPr>
          <w:sz w:val="22"/>
          <w:szCs w:val="22"/>
        </w:rPr>
        <w:t xml:space="preserve">Comply with this policy, report fitness for duty concerns, disclose medications that may impair capacity, seek help for AOD issues, and report concerns about colleagues' fitness for duty.</w:t>
      </w:r>
    </w:p>
    <w:p>
      <w:pPr>
        <w:pStyle w:val="Heading1"/>
      </w:pPr>
      <w:r>
        <w:t xml:space="preserve">7. Related Documents</w:t>
      </w:r>
    </w:p>
    <w:p>
      <w:pPr>
        <w:pStyle w:val="ListParagraph"/>
        <w:numPr>
          <w:ilvl w:val="0"/>
          <w:numId w:val="2"/>
        </w:numPr>
        <w:spacing w:after="80"/>
      </w:pPr>
      <w:r>
        <w:rPr>
          <w:sz w:val="22"/>
          <w:szCs w:val="22"/>
        </w:rPr>
        <w:t xml:space="preserve">POL-HR-001 Code of Conduct</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POL-ENV-006 Vehicle and Transport Safety Policy</w:t>
      </w:r>
    </w:p>
    <w:p>
      <w:pPr>
        <w:pStyle w:val="ListParagraph"/>
        <w:numPr>
          <w:ilvl w:val="0"/>
          <w:numId w:val="2"/>
        </w:numPr>
        <w:spacing w:after="80"/>
      </w:pPr>
      <w:r>
        <w:rPr>
          <w:sz w:val="22"/>
          <w:szCs w:val="22"/>
        </w:rPr>
        <w:t xml:space="preserve">POL-HR-008 Worker Wellbeing and Support Policy</w:t>
      </w:r>
    </w:p>
    <w:p>
      <w:pPr>
        <w:pStyle w:val="Heading1"/>
      </w:pPr>
      <w:r>
        <w:t xml:space="preserve">8. Review</w:t>
      </w:r>
    </w:p>
    <w:p>
      <w:pPr>
        <w:spacing w:after="120"/>
      </w:pPr>
      <w:r>
        <w:rPr>
          <w:sz w:val="22"/>
          <w:szCs w:val="22"/>
        </w:rPr>
        <w:t xml:space="preserve">This policy will be reviewed annually or sooner following AOD-related incidents or legislative changes.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POL-HR-010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Alcohol and Other Drugs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2026-03-11T07:10:25.359Z</dcterms:created>
  <dcterms:modified xsi:type="dcterms:W3CDTF">2026-03-11T07:10:25.359Z</dcterms:modified>
</cp:coreProperties>
</file>

<file path=docProps/custom.xml><?xml version="1.0" encoding="utf-8"?>
<Properties xmlns="http://schemas.openxmlformats.org/officeDocument/2006/custom-properties" xmlns:vt="http://schemas.openxmlformats.org/officeDocument/2006/docPropsVTypes"/>
</file>