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OPEN DISCLOSURE</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POL-INC-002</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Asina Disability Services' commitment to open and transparent communication with participants when things go wrong during the delivery of supports. Open disclosure is an ethical and professional obligation that supports trust, accountability, and learning.</w:t>
      </w:r>
    </w:p>
    <w:p>
      <w:pPr>
        <w:pStyle w:val="Heading1"/>
      </w:pPr>
      <w:r>
        <w:t xml:space="preserve">2. Scope</w:t>
      </w:r>
    </w:p>
    <w:p>
      <w:pPr>
        <w:spacing w:after="120"/>
      </w:pPr>
      <w:r>
        <w:rPr>
          <w:sz w:val="22"/>
          <w:szCs w:val="22"/>
        </w:rPr>
        <w:t xml:space="preserve">This policy applies to all incidents, adverse events, and near misses that affect or could have affected a participant. It applies to all workers.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Governance and Operational Management (Incident Management)</w:t>
      </w:r>
    </w:p>
    <w:p>
      <w:pPr>
        <w:pStyle w:val="ListParagraph"/>
        <w:numPr>
          <w:ilvl w:val="0"/>
          <w:numId w:val="2"/>
        </w:numPr>
        <w:spacing w:after="80"/>
      </w:pPr>
      <w:r>
        <w:rPr>
          <w:sz w:val="22"/>
          <w:szCs w:val="22"/>
        </w:rPr>
        <w:t xml:space="preserve">NDIS Code of Conduct - Acting with integrity, honesty, and transparency</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Australian Open Disclosure Framework (Australian Commission on Safety and Quality in Health Care)</w:t>
      </w:r>
    </w:p>
    <w:p>
      <w:pPr>
        <w:pStyle w:val="ListParagraph"/>
        <w:numPr>
          <w:ilvl w:val="0"/>
          <w:numId w:val="2"/>
        </w:numPr>
        <w:spacing w:after="80"/>
      </w:pPr>
      <w:r>
        <w:rPr>
          <w:sz w:val="22"/>
          <w:szCs w:val="22"/>
        </w:rPr>
        <w:t xml:space="preserve">Civil Liability Act 2002 (NSW) - Section 69 (Apologies)</w:t>
      </w:r>
    </w:p>
    <w:p>
      <w:pPr>
        <w:pStyle w:val="Heading1"/>
      </w:pPr>
      <w:r>
        <w:t xml:space="preserve">4. Definitions</w:t>
      </w:r>
    </w:p>
    <w:p>
      <w:pPr>
        <w:spacing w:after="120"/>
      </w:pPr>
      <w:r>
        <w:rPr>
          <w:b/>
          <w:bCs/>
          <w:sz w:val="22"/>
          <w:szCs w:val="22"/>
        </w:rPr>
        <w:t xml:space="preserve">Open Disclosure: </w:t>
      </w:r>
      <w:r>
        <w:rPr>
          <w:sz w:val="22"/>
          <w:szCs w:val="22"/>
        </w:rPr>
        <w:t xml:space="preserve">An open discussion with a participant (and/or their family, carer, or nominee) about an incident that resulted in, or could have resulted in, harm to them while receiving supports. It includes an expression of regret, an explanation of what happened, what the consequences are, and what steps are being taken to prevent recurrence.</w:t>
      </w:r>
    </w:p>
    <w:p>
      <w:pPr>
        <w:spacing w:after="120"/>
      </w:pPr>
      <w:r>
        <w:rPr>
          <w:b/>
          <w:bCs/>
          <w:sz w:val="22"/>
          <w:szCs w:val="22"/>
        </w:rPr>
        <w:t xml:space="preserve">Adverse Event: </w:t>
      </w:r>
      <w:r>
        <w:rPr>
          <w:sz w:val="22"/>
          <w:szCs w:val="22"/>
        </w:rPr>
        <w:t xml:space="preserve">An incident that results in harm to a participant.</w:t>
      </w:r>
    </w:p>
    <w:p>
      <w:pPr>
        <w:pStyle w:val="Heading1"/>
      </w:pPr>
      <w:r>
        <w:t xml:space="preserve">5. Policy Statement</w:t>
      </w:r>
    </w:p>
    <w:p>
      <w:pPr>
        <w:pStyle w:val="Heading2"/>
      </w:pPr>
      <w:r>
        <w:t xml:space="preserve">5.1 Open Disclosure Principles</w:t>
      </w:r>
    </w:p>
    <w:p>
      <w:pPr>
        <w:spacing w:after="120"/>
      </w:pPr>
      <w:r>
        <w:rPr>
          <w:sz w:val="22"/>
          <w:szCs w:val="22"/>
        </w:rPr>
        <w:t xml:space="preserve">Asina Disability Services is guided by the following principles:</w:t>
      </w:r>
    </w:p>
    <w:p>
      <w:pPr>
        <w:pStyle w:val="ListParagraph"/>
        <w:numPr>
          <w:ilvl w:val="0"/>
          <w:numId w:val="2"/>
        </w:numPr>
        <w:spacing w:after="80"/>
      </w:pPr>
      <w:r>
        <w:rPr>
          <w:sz w:val="22"/>
          <w:szCs w:val="22"/>
        </w:rPr>
        <w:t xml:space="preserve">Openness and timeliness: Participants are informed about incidents promptly and honestly</w:t>
      </w:r>
    </w:p>
    <w:p>
      <w:pPr>
        <w:pStyle w:val="ListParagraph"/>
        <w:numPr>
          <w:ilvl w:val="0"/>
          <w:numId w:val="2"/>
        </w:numPr>
        <w:spacing w:after="80"/>
      </w:pPr>
      <w:r>
        <w:rPr>
          <w:sz w:val="22"/>
          <w:szCs w:val="22"/>
        </w:rPr>
        <w:t xml:space="preserve">Acknowledgement: The incident and its impact on the participant are acknowledged sincerely</w:t>
      </w:r>
    </w:p>
    <w:p>
      <w:pPr>
        <w:pStyle w:val="ListParagraph"/>
        <w:numPr>
          <w:ilvl w:val="0"/>
          <w:numId w:val="2"/>
        </w:numPr>
        <w:spacing w:after="80"/>
      </w:pPr>
      <w:r>
        <w:rPr>
          <w:sz w:val="22"/>
          <w:szCs w:val="22"/>
        </w:rPr>
        <w:t xml:space="preserve">Apology/expression of regret: An expression of regret is provided. Under Section 69 of the Civil Liability Act 2002 (NSW), an apology does not constitute an admission of liability</w:t>
      </w:r>
    </w:p>
    <w:p>
      <w:pPr>
        <w:pStyle w:val="ListParagraph"/>
        <w:numPr>
          <w:ilvl w:val="0"/>
          <w:numId w:val="2"/>
        </w:numPr>
        <w:spacing w:after="80"/>
      </w:pPr>
      <w:r>
        <w:rPr>
          <w:sz w:val="22"/>
          <w:szCs w:val="22"/>
        </w:rPr>
        <w:t xml:space="preserve">Recognition of participant expectations: The participant's need for information, support, and involvement is respected</w:t>
      </w:r>
    </w:p>
    <w:p>
      <w:pPr>
        <w:pStyle w:val="ListParagraph"/>
        <w:numPr>
          <w:ilvl w:val="0"/>
          <w:numId w:val="2"/>
        </w:numPr>
        <w:spacing w:after="80"/>
      </w:pPr>
      <w:r>
        <w:rPr>
          <w:sz w:val="22"/>
          <w:szCs w:val="22"/>
        </w:rPr>
        <w:t xml:space="preserve">Staff support: Workers involved in incidents are also supported through the process</w:t>
      </w:r>
    </w:p>
    <w:p>
      <w:pPr>
        <w:pStyle w:val="ListParagraph"/>
        <w:numPr>
          <w:ilvl w:val="0"/>
          <w:numId w:val="2"/>
        </w:numPr>
        <w:spacing w:after="80"/>
      </w:pPr>
      <w:r>
        <w:rPr>
          <w:sz w:val="22"/>
          <w:szCs w:val="22"/>
        </w:rPr>
        <w:t xml:space="preserve">Integrated risk management: Open disclosure is integrated with the incident management and quality improvement systems</w:t>
      </w:r>
    </w:p>
    <w:p>
      <w:pPr>
        <w:pStyle w:val="ListParagraph"/>
        <w:numPr>
          <w:ilvl w:val="0"/>
          <w:numId w:val="2"/>
        </w:numPr>
        <w:spacing w:after="80"/>
      </w:pPr>
      <w:r>
        <w:rPr>
          <w:sz w:val="22"/>
          <w:szCs w:val="22"/>
        </w:rPr>
        <w:t xml:space="preserve">Governance: The process is overseen by the Director with clear accountability</w:t>
      </w:r>
    </w:p>
    <w:p>
      <w:pPr>
        <w:pStyle w:val="ListParagraph"/>
        <w:numPr>
          <w:ilvl w:val="0"/>
          <w:numId w:val="2"/>
        </w:numPr>
        <w:spacing w:after="80"/>
      </w:pPr>
      <w:r>
        <w:rPr>
          <w:sz w:val="22"/>
          <w:szCs w:val="22"/>
        </w:rPr>
        <w:t xml:space="preserve">Confidentiality: Information is managed sensitively and in accordance with privacy obligations</w:t>
      </w:r>
    </w:p>
    <w:p>
      <w:pPr>
        <w:pStyle w:val="Heading2"/>
      </w:pPr>
      <w:r>
        <w:t xml:space="preserve">5.2 When Open Disclosure Applies</w:t>
      </w:r>
    </w:p>
    <w:p>
      <w:pPr>
        <w:spacing w:after="120"/>
      </w:pPr>
      <w:r>
        <w:rPr>
          <w:sz w:val="22"/>
          <w:szCs w:val="22"/>
        </w:rPr>
        <w:t xml:space="preserve">Open disclosure is initiated when:</w:t>
      </w:r>
    </w:p>
    <w:p>
      <w:pPr>
        <w:pStyle w:val="ListParagraph"/>
        <w:numPr>
          <w:ilvl w:val="0"/>
          <w:numId w:val="2"/>
        </w:numPr>
        <w:spacing w:after="80"/>
      </w:pPr>
      <w:r>
        <w:rPr>
          <w:sz w:val="22"/>
          <w:szCs w:val="22"/>
        </w:rPr>
        <w:t xml:space="preserve">A participant experiences harm or injury during the delivery of supports</w:t>
      </w:r>
    </w:p>
    <w:p>
      <w:pPr>
        <w:pStyle w:val="ListParagraph"/>
        <w:numPr>
          <w:ilvl w:val="0"/>
          <w:numId w:val="2"/>
        </w:numPr>
        <w:spacing w:after="80"/>
      </w:pPr>
      <w:r>
        <w:rPr>
          <w:sz w:val="22"/>
          <w:szCs w:val="22"/>
        </w:rPr>
        <w:t xml:space="preserve">A medication error occurs that affects or could affect the participant</w:t>
      </w:r>
    </w:p>
    <w:p>
      <w:pPr>
        <w:pStyle w:val="ListParagraph"/>
        <w:numPr>
          <w:ilvl w:val="0"/>
          <w:numId w:val="2"/>
        </w:numPr>
        <w:spacing w:after="80"/>
      </w:pPr>
      <w:r>
        <w:rPr>
          <w:sz w:val="22"/>
          <w:szCs w:val="22"/>
        </w:rPr>
        <w:t xml:space="preserve">There is a failure to deliver supports as planned that impacts the participant</w:t>
      </w:r>
    </w:p>
    <w:p>
      <w:pPr>
        <w:pStyle w:val="ListParagraph"/>
        <w:numPr>
          <w:ilvl w:val="0"/>
          <w:numId w:val="2"/>
        </w:numPr>
        <w:spacing w:after="80"/>
      </w:pPr>
      <w:r>
        <w:rPr>
          <w:sz w:val="22"/>
          <w:szCs w:val="22"/>
        </w:rPr>
        <w:t xml:space="preserve">A participant's rights are breached</w:t>
      </w:r>
    </w:p>
    <w:p>
      <w:pPr>
        <w:pStyle w:val="ListParagraph"/>
        <w:numPr>
          <w:ilvl w:val="0"/>
          <w:numId w:val="2"/>
        </w:numPr>
        <w:spacing w:after="80"/>
      </w:pPr>
      <w:r>
        <w:rPr>
          <w:sz w:val="22"/>
          <w:szCs w:val="22"/>
        </w:rPr>
        <w:t xml:space="preserve">A near miss occurs that could reasonably have caused harm</w:t>
      </w:r>
    </w:p>
    <w:p>
      <w:pPr>
        <w:pStyle w:val="ListParagraph"/>
        <w:numPr>
          <w:ilvl w:val="0"/>
          <w:numId w:val="2"/>
        </w:numPr>
        <w:spacing w:after="80"/>
      </w:pPr>
      <w:r>
        <w:rPr>
          <w:sz w:val="22"/>
          <w:szCs w:val="22"/>
        </w:rPr>
        <w:t xml:space="preserve">A participant's property is damaged or lost</w:t>
      </w:r>
    </w:p>
    <w:p>
      <w:pPr>
        <w:pStyle w:val="ListParagraph"/>
        <w:numPr>
          <w:ilvl w:val="0"/>
          <w:numId w:val="2"/>
        </w:numPr>
        <w:spacing w:after="80"/>
      </w:pPr>
      <w:r>
        <w:rPr>
          <w:sz w:val="22"/>
          <w:szCs w:val="22"/>
        </w:rPr>
        <w:t xml:space="preserve">Any event occurs where a reasonable participant would expect to be informed</w:t>
      </w:r>
    </w:p>
    <w:p>
      <w:pPr>
        <w:pStyle w:val="Heading2"/>
      </w:pPr>
      <w:r>
        <w:t xml:space="preserve">5.3 What Open Disclosure Includes</w:t>
      </w:r>
    </w:p>
    <w:p>
      <w:pPr>
        <w:spacing w:after="120"/>
      </w:pPr>
      <w:r>
        <w:rPr>
          <w:sz w:val="22"/>
          <w:szCs w:val="22"/>
        </w:rPr>
        <w:t xml:space="preserve">An open disclosure discussion includes:</w:t>
      </w:r>
    </w:p>
    <w:p>
      <w:pPr>
        <w:pStyle w:val="ListParagraph"/>
        <w:numPr>
          <w:ilvl w:val="0"/>
          <w:numId w:val="2"/>
        </w:numPr>
        <w:spacing w:after="80"/>
      </w:pPr>
      <w:r>
        <w:rPr>
          <w:sz w:val="22"/>
          <w:szCs w:val="22"/>
        </w:rPr>
        <w:t xml:space="preserve">An expression of regret for what happened</w:t>
      </w:r>
    </w:p>
    <w:p>
      <w:pPr>
        <w:pStyle w:val="ListParagraph"/>
        <w:numPr>
          <w:ilvl w:val="0"/>
          <w:numId w:val="2"/>
        </w:numPr>
        <w:spacing w:after="80"/>
      </w:pPr>
      <w:r>
        <w:rPr>
          <w:sz w:val="22"/>
          <w:szCs w:val="22"/>
        </w:rPr>
        <w:t xml:space="preserve">A factual explanation of what happened (based on known facts at the time)</w:t>
      </w:r>
    </w:p>
    <w:p>
      <w:pPr>
        <w:pStyle w:val="ListParagraph"/>
        <w:numPr>
          <w:ilvl w:val="0"/>
          <w:numId w:val="2"/>
        </w:numPr>
        <w:spacing w:after="80"/>
      </w:pPr>
      <w:r>
        <w:rPr>
          <w:sz w:val="22"/>
          <w:szCs w:val="22"/>
        </w:rPr>
        <w:t xml:space="preserve">An explanation of what the consequences have been or may be</w:t>
      </w:r>
    </w:p>
    <w:p>
      <w:pPr>
        <w:pStyle w:val="ListParagraph"/>
        <w:numPr>
          <w:ilvl w:val="0"/>
          <w:numId w:val="2"/>
        </w:numPr>
        <w:spacing w:after="80"/>
      </w:pPr>
      <w:r>
        <w:rPr>
          <w:sz w:val="22"/>
          <w:szCs w:val="22"/>
        </w:rPr>
        <w:t xml:space="preserve">An explanation of what steps are being taken to investigate and prevent recurrence</w:t>
      </w:r>
    </w:p>
    <w:p>
      <w:pPr>
        <w:pStyle w:val="ListParagraph"/>
        <w:numPr>
          <w:ilvl w:val="0"/>
          <w:numId w:val="2"/>
        </w:numPr>
        <w:spacing w:after="80"/>
      </w:pPr>
      <w:r>
        <w:rPr>
          <w:sz w:val="22"/>
          <w:szCs w:val="22"/>
        </w:rPr>
        <w:t xml:space="preserve">An opportunity for the participant to ask questions and share their experience</w:t>
      </w:r>
    </w:p>
    <w:p>
      <w:pPr>
        <w:pStyle w:val="ListParagraph"/>
        <w:numPr>
          <w:ilvl w:val="0"/>
          <w:numId w:val="2"/>
        </w:numPr>
        <w:spacing w:after="80"/>
      </w:pPr>
      <w:r>
        <w:rPr>
          <w:sz w:val="22"/>
          <w:szCs w:val="22"/>
        </w:rPr>
        <w:t xml:space="preserve">Information about support services available to the participant</w:t>
      </w:r>
    </w:p>
    <w:p>
      <w:pPr>
        <w:pStyle w:val="ListParagraph"/>
        <w:numPr>
          <w:ilvl w:val="0"/>
          <w:numId w:val="2"/>
        </w:numPr>
        <w:spacing w:after="80"/>
      </w:pPr>
      <w:r>
        <w:rPr>
          <w:sz w:val="22"/>
          <w:szCs w:val="22"/>
        </w:rPr>
        <w:t xml:space="preserve">Information about the complaints process if the participant is not satisfied</w:t>
      </w:r>
    </w:p>
    <w:p>
      <w:pPr>
        <w:pStyle w:val="Heading1"/>
      </w:pPr>
      <w:r>
        <w:t xml:space="preserve">6. Procedures</w:t>
      </w:r>
    </w:p>
    <w:p>
      <w:pPr>
        <w:pStyle w:val="ListParagraph"/>
        <w:numPr>
          <w:ilvl w:val="0"/>
          <w:numId w:val="3"/>
        </w:numPr>
        <w:spacing w:after="80"/>
      </w:pPr>
      <w:r>
        <w:rPr>
          <w:sz w:val="22"/>
          <w:szCs w:val="22"/>
        </w:rPr>
        <w:t xml:space="preserve">The Director is notified of the incident and assesses whether open disclosure is required.</w:t>
      </w:r>
    </w:p>
    <w:p>
      <w:pPr>
        <w:pStyle w:val="ListParagraph"/>
        <w:numPr>
          <w:ilvl w:val="0"/>
          <w:numId w:val="3"/>
        </w:numPr>
        <w:spacing w:after="80"/>
      </w:pPr>
      <w:r>
        <w:rPr>
          <w:sz w:val="22"/>
          <w:szCs w:val="22"/>
        </w:rPr>
        <w:t xml:space="preserve">For less serious incidents, the worker involved may conduct open disclosure with the participant at the time, with the Director's guidance.</w:t>
      </w:r>
    </w:p>
    <w:p>
      <w:pPr>
        <w:pStyle w:val="ListParagraph"/>
        <w:numPr>
          <w:ilvl w:val="0"/>
          <w:numId w:val="3"/>
        </w:numPr>
        <w:spacing w:after="80"/>
      </w:pPr>
      <w:r>
        <w:rPr>
          <w:sz w:val="22"/>
          <w:szCs w:val="22"/>
        </w:rPr>
        <w:t xml:space="preserve">For serious incidents, the Director leads the open disclosure process.</w:t>
      </w:r>
    </w:p>
    <w:p>
      <w:pPr>
        <w:pStyle w:val="ListParagraph"/>
        <w:numPr>
          <w:ilvl w:val="0"/>
          <w:numId w:val="3"/>
        </w:numPr>
        <w:spacing w:after="80"/>
      </w:pPr>
      <w:r>
        <w:rPr>
          <w:sz w:val="22"/>
          <w:szCs w:val="22"/>
        </w:rPr>
        <w:t xml:space="preserve">The disclosure conversation occurs as soon as practicable, ideally within 24 hours for serious incidents.</w:t>
      </w:r>
    </w:p>
    <w:p>
      <w:pPr>
        <w:pStyle w:val="ListParagraph"/>
        <w:numPr>
          <w:ilvl w:val="0"/>
          <w:numId w:val="3"/>
        </w:numPr>
        <w:spacing w:after="80"/>
      </w:pPr>
      <w:r>
        <w:rPr>
          <w:sz w:val="22"/>
          <w:szCs w:val="22"/>
        </w:rPr>
        <w:t xml:space="preserve">The participant is asked who they would like present (family, carer, advocate, nominee).</w:t>
      </w:r>
    </w:p>
    <w:p>
      <w:pPr>
        <w:pStyle w:val="ListParagraph"/>
        <w:numPr>
          <w:ilvl w:val="0"/>
          <w:numId w:val="3"/>
        </w:numPr>
        <w:spacing w:after="80"/>
      </w:pPr>
      <w:r>
        <w:rPr>
          <w:sz w:val="22"/>
          <w:szCs w:val="22"/>
        </w:rPr>
        <w:t xml:space="preserve">The conversation is conducted in a private, comfortable setting.</w:t>
      </w:r>
    </w:p>
    <w:p>
      <w:pPr>
        <w:pStyle w:val="ListParagraph"/>
        <w:numPr>
          <w:ilvl w:val="0"/>
          <w:numId w:val="3"/>
        </w:numPr>
        <w:spacing w:after="80"/>
      </w:pPr>
      <w:r>
        <w:rPr>
          <w:sz w:val="22"/>
          <w:szCs w:val="22"/>
        </w:rPr>
        <w:t xml:space="preserve">The discussion and the participant's response are documented in the participant's file and linked to the incident report.</w:t>
      </w:r>
    </w:p>
    <w:p>
      <w:pPr>
        <w:pStyle w:val="ListParagraph"/>
        <w:numPr>
          <w:ilvl w:val="0"/>
          <w:numId w:val="3"/>
        </w:numPr>
        <w:spacing w:after="80"/>
      </w:pPr>
      <w:r>
        <w:rPr>
          <w:sz w:val="22"/>
          <w:szCs w:val="22"/>
        </w:rPr>
        <w:t xml:space="preserve">Follow-up conversations occur as more information becomes available from the investigation.</w:t>
      </w:r>
    </w:p>
    <w:p>
      <w:pPr>
        <w:pStyle w:val="ListParagraph"/>
        <w:numPr>
          <w:ilvl w:val="0"/>
          <w:numId w:val="3"/>
        </w:numPr>
        <w:spacing w:after="80"/>
      </w:pPr>
      <w:r>
        <w:rPr>
          <w:sz w:val="22"/>
          <w:szCs w:val="22"/>
        </w:rPr>
        <w:t xml:space="preserve">The participant is informed of the investigation outcome and corrective actions taken.</w:t>
      </w:r>
    </w:p>
    <w:p>
      <w:pPr>
        <w:pStyle w:val="Heading1"/>
      </w:pPr>
      <w:r>
        <w:t xml:space="preserve">7. Responsibilities</w:t>
      </w:r>
    </w:p>
    <w:p>
      <w:pPr>
        <w:spacing w:after="120"/>
      </w:pPr>
      <w:r>
        <w:rPr>
          <w:b/>
          <w:bCs/>
          <w:sz w:val="22"/>
          <w:szCs w:val="22"/>
        </w:rPr>
        <w:t xml:space="preserve">Director: </w:t>
      </w:r>
      <w:r>
        <w:rPr>
          <w:sz w:val="22"/>
          <w:szCs w:val="22"/>
        </w:rPr>
        <w:t xml:space="preserve">Oversee the open disclosure process, lead disclosure for serious incidents, ensure staff are trained and supported, and ensure the process is documented.</w:t>
      </w:r>
    </w:p>
    <w:p>
      <w:pPr>
        <w:spacing w:after="120"/>
      </w:pPr>
      <w:r>
        <w:rPr>
          <w:b/>
          <w:bCs/>
          <w:sz w:val="22"/>
          <w:szCs w:val="22"/>
        </w:rPr>
        <w:t xml:space="preserve">Workers: </w:t>
      </w:r>
      <w:r>
        <w:rPr>
          <w:sz w:val="22"/>
          <w:szCs w:val="22"/>
        </w:rPr>
        <w:t xml:space="preserve">Participate in open disclosure as directed, provide factual accounts, support participants through the process, and document discussions.</w:t>
      </w:r>
    </w:p>
    <w:p>
      <w:pPr>
        <w:pStyle w:val="Heading1"/>
      </w:pPr>
      <w:r>
        <w:t xml:space="preserve">8. Related Documents</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POL-FB-001 Feedback and Complaints Management Policy</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Incident Report Form</w:t>
      </w:r>
    </w:p>
    <w:p>
      <w:pPr>
        <w:pStyle w:val="Heading1"/>
      </w:pPr>
      <w:r>
        <w:t xml:space="preserve">9. Review</w:t>
      </w:r>
    </w:p>
    <w:p>
      <w:pPr>
        <w:spacing w:after="120"/>
      </w:pPr>
      <w:r>
        <w:rPr>
          <w:sz w:val="22"/>
          <w:szCs w:val="22"/>
        </w:rPr>
        <w:t xml:space="preserve">This policy will be reviewed annually or sooner following feedback on the open disclosure process or audit findings.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POL-INC-002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Open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2026-03-11T07:26:22.790Z</dcterms:created>
  <dcterms:modified xsi:type="dcterms:W3CDTF">2026-03-11T07:26:22.790Z</dcterms:modified>
</cp:coreProperties>
</file>

<file path=docProps/custom.xml><?xml version="1.0" encoding="utf-8"?>
<Properties xmlns="http://schemas.openxmlformats.org/officeDocument/2006/custom-properties" xmlns:vt="http://schemas.openxmlformats.org/officeDocument/2006/docPropsVTypes"/>
</file>