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INFORMED CONSENT AND DECISION MAKING</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POL-RS-003</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NDIS participants are supported to make informed decisions about their supports and that valid consent is obtained before providing any supports or sharing information. Asina Disability Services respects the right of every participant to make decisions about their own life.</w:t>
      </w:r>
    </w:p>
    <w:p>
      <w:pPr>
        <w:pStyle w:val="Heading1"/>
      </w:pPr>
      <w:r>
        <w:t xml:space="preserve">2. Scope</w:t>
      </w:r>
    </w:p>
    <w:p>
      <w:pPr>
        <w:spacing w:after="120"/>
      </w:pPr>
      <w:r>
        <w:rPr>
          <w:sz w:val="22"/>
          <w:szCs w:val="22"/>
        </w:rPr>
        <w:t xml:space="preserve">This policy applies to all workers and all situations where participant consent is required, including consent for supports, information sharing, photographs, and participation in activities.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 (Independence and Informed Choice)</w:t>
      </w:r>
    </w:p>
    <w:p>
      <w:pPr>
        <w:pStyle w:val="ListParagraph"/>
        <w:numPr>
          <w:ilvl w:val="0"/>
          <w:numId w:val="2"/>
        </w:numPr>
        <w:spacing w:after="80"/>
      </w:pPr>
      <w:r>
        <w:rPr>
          <w:sz w:val="22"/>
          <w:szCs w:val="22"/>
        </w:rPr>
        <w:t xml:space="preserve">NDIS Act 2013 (Cth) - Section 4 (Principles including choice and control)</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Guardianship Act 1987 (NSW)</w:t>
      </w:r>
    </w:p>
    <w:p>
      <w:pPr>
        <w:pStyle w:val="ListParagraph"/>
        <w:numPr>
          <w:ilvl w:val="0"/>
          <w:numId w:val="2"/>
        </w:numPr>
        <w:spacing w:after="80"/>
      </w:pPr>
      <w:r>
        <w:rPr>
          <w:sz w:val="22"/>
          <w:szCs w:val="22"/>
        </w:rPr>
        <w:t xml:space="preserve">NSW Capacity Toolkit</w:t>
      </w:r>
    </w:p>
    <w:p>
      <w:pPr>
        <w:pStyle w:val="Heading1"/>
      </w:pPr>
      <w:r>
        <w:t xml:space="preserve">4. Policy Statement</w:t>
      </w:r>
    </w:p>
    <w:p>
      <w:pPr>
        <w:pStyle w:val="Heading2"/>
      </w:pPr>
      <w:r>
        <w:t xml:space="preserve">4.1 Principles of Informed Consent</w:t>
      </w:r>
    </w:p>
    <w:p>
      <w:pPr>
        <w:spacing w:after="120"/>
      </w:pPr>
      <w:r>
        <w:rPr>
          <w:sz w:val="22"/>
          <w:szCs w:val="22"/>
        </w:rPr>
        <w:t xml:space="preserve">For consent to be valid, it must be:</w:t>
      </w:r>
    </w:p>
    <w:p>
      <w:pPr>
        <w:pStyle w:val="ListParagraph"/>
        <w:numPr>
          <w:ilvl w:val="0"/>
          <w:numId w:val="2"/>
        </w:numPr>
        <w:spacing w:after="80"/>
      </w:pPr>
      <w:r>
        <w:rPr>
          <w:sz w:val="22"/>
          <w:szCs w:val="22"/>
        </w:rPr>
        <w:t xml:space="preserve">Voluntary: Given freely without coercion, pressure, or undue influence</w:t>
      </w:r>
    </w:p>
    <w:p>
      <w:pPr>
        <w:pStyle w:val="ListParagraph"/>
        <w:numPr>
          <w:ilvl w:val="0"/>
          <w:numId w:val="2"/>
        </w:numPr>
        <w:spacing w:after="80"/>
      </w:pPr>
      <w:r>
        <w:rPr>
          <w:sz w:val="22"/>
          <w:szCs w:val="22"/>
        </w:rPr>
        <w:t xml:space="preserve">Informed: The person has been provided with sufficient information, in a format they understand, to make the decision</w:t>
      </w:r>
    </w:p>
    <w:p>
      <w:pPr>
        <w:pStyle w:val="ListParagraph"/>
        <w:numPr>
          <w:ilvl w:val="0"/>
          <w:numId w:val="2"/>
        </w:numPr>
        <w:spacing w:after="80"/>
      </w:pPr>
      <w:r>
        <w:rPr>
          <w:sz w:val="22"/>
          <w:szCs w:val="22"/>
        </w:rPr>
        <w:t xml:space="preserve">Specific: Relates to the particular support, activity, or disclosure being consented to</w:t>
      </w:r>
    </w:p>
    <w:p>
      <w:pPr>
        <w:pStyle w:val="ListParagraph"/>
        <w:numPr>
          <w:ilvl w:val="0"/>
          <w:numId w:val="2"/>
        </w:numPr>
        <w:spacing w:after="80"/>
      </w:pPr>
      <w:r>
        <w:rPr>
          <w:sz w:val="22"/>
          <w:szCs w:val="22"/>
        </w:rPr>
        <w:t xml:space="preserve">Current: Remains valid and has not been withdrawn</w:t>
      </w:r>
    </w:p>
    <w:p>
      <w:pPr>
        <w:pStyle w:val="ListParagraph"/>
        <w:numPr>
          <w:ilvl w:val="0"/>
          <w:numId w:val="2"/>
        </w:numPr>
        <w:spacing w:after="80"/>
      </w:pPr>
      <w:r>
        <w:rPr>
          <w:sz w:val="22"/>
          <w:szCs w:val="22"/>
        </w:rPr>
        <w:t xml:space="preserve">Given by a person with capacity: The person has the ability to understand the information, appreciate how it relates to them, weigh the options, and communicate their decision</w:t>
      </w:r>
    </w:p>
    <w:p>
      <w:pPr>
        <w:pStyle w:val="Heading2"/>
      </w:pPr>
      <w:r>
        <w:t xml:space="preserve">4.2 Supported Decision Making</w:t>
      </w:r>
    </w:p>
    <w:p>
      <w:pPr>
        <w:spacing w:after="120"/>
      </w:pPr>
      <w:r>
        <w:rPr>
          <w:sz w:val="22"/>
          <w:szCs w:val="22"/>
        </w:rPr>
        <w:t xml:space="preserve">Asina Disability Services supports participants to make their own decisions by:</w:t>
      </w:r>
    </w:p>
    <w:p>
      <w:pPr>
        <w:pStyle w:val="ListParagraph"/>
        <w:numPr>
          <w:ilvl w:val="0"/>
          <w:numId w:val="2"/>
        </w:numPr>
        <w:spacing w:after="80"/>
      </w:pPr>
      <w:r>
        <w:rPr>
          <w:sz w:val="22"/>
          <w:szCs w:val="22"/>
        </w:rPr>
        <w:t xml:space="preserve">Presuming capacity - every adult is presumed to have decision-making capacity unless there is evidence to the contrary</w:t>
      </w:r>
    </w:p>
    <w:p>
      <w:pPr>
        <w:pStyle w:val="ListParagraph"/>
        <w:numPr>
          <w:ilvl w:val="0"/>
          <w:numId w:val="2"/>
        </w:numPr>
        <w:spacing w:after="80"/>
      </w:pPr>
      <w:r>
        <w:rPr>
          <w:sz w:val="22"/>
          <w:szCs w:val="22"/>
        </w:rPr>
        <w:t xml:space="preserve">Providing information in the participant's preferred communication method and format</w:t>
      </w:r>
    </w:p>
    <w:p>
      <w:pPr>
        <w:pStyle w:val="ListParagraph"/>
        <w:numPr>
          <w:ilvl w:val="0"/>
          <w:numId w:val="2"/>
        </w:numPr>
        <w:spacing w:after="80"/>
      </w:pPr>
      <w:r>
        <w:rPr>
          <w:sz w:val="22"/>
          <w:szCs w:val="22"/>
        </w:rPr>
        <w:t xml:space="preserve">Using plain language, visual aids, Easy Read materials, and interpreters where needed</w:t>
      </w:r>
    </w:p>
    <w:p>
      <w:pPr>
        <w:pStyle w:val="ListParagraph"/>
        <w:numPr>
          <w:ilvl w:val="0"/>
          <w:numId w:val="2"/>
        </w:numPr>
        <w:spacing w:after="80"/>
      </w:pPr>
      <w:r>
        <w:rPr>
          <w:sz w:val="22"/>
          <w:szCs w:val="22"/>
        </w:rPr>
        <w:t xml:space="preserve">Allowing adequate time for the participant to process information and make their decision</w:t>
      </w:r>
    </w:p>
    <w:p>
      <w:pPr>
        <w:pStyle w:val="ListParagraph"/>
        <w:numPr>
          <w:ilvl w:val="0"/>
          <w:numId w:val="2"/>
        </w:numPr>
        <w:spacing w:after="80"/>
      </w:pPr>
      <w:r>
        <w:rPr>
          <w:sz w:val="22"/>
          <w:szCs w:val="22"/>
        </w:rPr>
        <w:t xml:space="preserve">Supporting the participant to involve trusted people in their decision-making</w:t>
      </w:r>
    </w:p>
    <w:p>
      <w:pPr>
        <w:pStyle w:val="ListParagraph"/>
        <w:numPr>
          <w:ilvl w:val="0"/>
          <w:numId w:val="2"/>
        </w:numPr>
        <w:spacing w:after="80"/>
      </w:pPr>
      <w:r>
        <w:rPr>
          <w:sz w:val="22"/>
          <w:szCs w:val="22"/>
        </w:rPr>
        <w:t xml:space="preserve">Respecting the participant's decision, even if workers believe a different decision would be better (subject to duty of care considerations)</w:t>
      </w:r>
    </w:p>
    <w:p>
      <w:pPr>
        <w:pStyle w:val="Heading2"/>
      </w:pPr>
      <w:r>
        <w:t xml:space="preserve">4.3 Substitute Decision Making</w:t>
      </w:r>
    </w:p>
    <w:p>
      <w:pPr>
        <w:spacing w:after="120"/>
      </w:pPr>
      <w:r>
        <w:rPr>
          <w:sz w:val="22"/>
          <w:szCs w:val="22"/>
        </w:rPr>
        <w:t xml:space="preserve">Where a participant does not have decision-making capacity for a particular decision:</w:t>
      </w:r>
    </w:p>
    <w:p>
      <w:pPr>
        <w:pStyle w:val="ListParagraph"/>
        <w:numPr>
          <w:ilvl w:val="0"/>
          <w:numId w:val="2"/>
        </w:numPr>
        <w:spacing w:after="80"/>
      </w:pPr>
      <w:r>
        <w:rPr>
          <w:sz w:val="22"/>
          <w:szCs w:val="22"/>
        </w:rPr>
        <w:t xml:space="preserve">The participant's guardian, nominee, or person responsible (as defined by the Guardianship Act 1987 NSW) may provide consent</w:t>
      </w:r>
    </w:p>
    <w:p>
      <w:pPr>
        <w:pStyle w:val="ListParagraph"/>
        <w:numPr>
          <w:ilvl w:val="0"/>
          <w:numId w:val="2"/>
        </w:numPr>
        <w:spacing w:after="80"/>
      </w:pPr>
      <w:r>
        <w:rPr>
          <w:sz w:val="22"/>
          <w:szCs w:val="22"/>
        </w:rPr>
        <w:t xml:space="preserve">Substitute decisions must be made in the best interests of the participant, considering their known wishes and preferences</w:t>
      </w:r>
    </w:p>
    <w:p>
      <w:pPr>
        <w:pStyle w:val="ListParagraph"/>
        <w:numPr>
          <w:ilvl w:val="0"/>
          <w:numId w:val="2"/>
        </w:numPr>
        <w:spacing w:after="80"/>
      </w:pPr>
      <w:r>
        <w:rPr>
          <w:sz w:val="22"/>
          <w:szCs w:val="22"/>
        </w:rPr>
        <w:t xml:space="preserve">The participant continues to be involved to the greatest extent possible</w:t>
      </w:r>
    </w:p>
    <w:p>
      <w:pPr>
        <w:pStyle w:val="ListParagraph"/>
        <w:numPr>
          <w:ilvl w:val="0"/>
          <w:numId w:val="2"/>
        </w:numPr>
        <w:spacing w:after="80"/>
      </w:pPr>
      <w:r>
        <w:rPr>
          <w:sz w:val="22"/>
          <w:szCs w:val="22"/>
        </w:rPr>
        <w:t xml:space="preserve">Substitute decision-making authority is verified and documented</w:t>
      </w:r>
    </w:p>
    <w:p>
      <w:pPr>
        <w:pStyle w:val="Heading2"/>
      </w:pPr>
      <w:r>
        <w:t xml:space="preserve">4.4 Withdrawal of Consent</w:t>
      </w:r>
    </w:p>
    <w:p>
      <w:pPr>
        <w:spacing w:after="120"/>
      </w:pPr>
      <w:r>
        <w:rPr>
          <w:sz w:val="22"/>
          <w:szCs w:val="22"/>
        </w:rPr>
        <w:t xml:space="preserve">Participants can withdraw consent at any time. When consent is withdrawn:</w:t>
      </w:r>
    </w:p>
    <w:p>
      <w:pPr>
        <w:pStyle w:val="ListParagraph"/>
        <w:numPr>
          <w:ilvl w:val="0"/>
          <w:numId w:val="2"/>
        </w:numPr>
        <w:spacing w:after="80"/>
      </w:pPr>
      <w:r>
        <w:rPr>
          <w:sz w:val="22"/>
          <w:szCs w:val="22"/>
        </w:rPr>
        <w:t xml:space="preserve">The relevant support or disclosure ceases immediately (unless doing so would pose an immediate safety risk)</w:t>
      </w:r>
    </w:p>
    <w:p>
      <w:pPr>
        <w:pStyle w:val="ListParagraph"/>
        <w:numPr>
          <w:ilvl w:val="0"/>
          <w:numId w:val="2"/>
        </w:numPr>
        <w:spacing w:after="80"/>
      </w:pPr>
      <w:r>
        <w:rPr>
          <w:sz w:val="22"/>
          <w:szCs w:val="22"/>
        </w:rPr>
        <w:t xml:space="preserve">The withdrawal is documented</w:t>
      </w:r>
    </w:p>
    <w:p>
      <w:pPr>
        <w:pStyle w:val="ListParagraph"/>
        <w:numPr>
          <w:ilvl w:val="0"/>
          <w:numId w:val="2"/>
        </w:numPr>
        <w:spacing w:after="80"/>
      </w:pPr>
      <w:r>
        <w:rPr>
          <w:sz w:val="22"/>
          <w:szCs w:val="22"/>
        </w:rPr>
        <w:t xml:space="preserve">The participant is informed of any consequences of withdrawing consent</w:t>
      </w:r>
    </w:p>
    <w:p>
      <w:pPr>
        <w:pStyle w:val="ListParagraph"/>
        <w:numPr>
          <w:ilvl w:val="0"/>
          <w:numId w:val="2"/>
        </w:numPr>
        <w:spacing w:after="80"/>
      </w:pPr>
      <w:r>
        <w:rPr>
          <w:sz w:val="22"/>
          <w:szCs w:val="22"/>
        </w:rPr>
        <w:t xml:space="preserve">Alternative options are discussed with the participant</w:t>
      </w:r>
    </w:p>
    <w:p>
      <w:pPr>
        <w:pStyle w:val="Heading1"/>
      </w:pPr>
      <w:r>
        <w:t xml:space="preserve">5. Procedures</w:t>
      </w:r>
    </w:p>
    <w:p>
      <w:pPr>
        <w:pStyle w:val="ListParagraph"/>
        <w:numPr>
          <w:ilvl w:val="0"/>
          <w:numId w:val="3"/>
        </w:numPr>
        <w:spacing w:after="80"/>
      </w:pPr>
      <w:r>
        <w:rPr>
          <w:sz w:val="22"/>
          <w:szCs w:val="22"/>
        </w:rPr>
        <w:t xml:space="preserve">Before commencing supports, inform the participant about what is involved, the benefits, risks, alternatives, and their right to refuse.</w:t>
      </w:r>
    </w:p>
    <w:p>
      <w:pPr>
        <w:pStyle w:val="ListParagraph"/>
        <w:numPr>
          <w:ilvl w:val="0"/>
          <w:numId w:val="3"/>
        </w:numPr>
        <w:spacing w:after="80"/>
      </w:pPr>
      <w:r>
        <w:rPr>
          <w:sz w:val="22"/>
          <w:szCs w:val="22"/>
        </w:rPr>
        <w:t xml:space="preserve">Provide information in an accessible format appropriate to the participant.</w:t>
      </w:r>
    </w:p>
    <w:p>
      <w:pPr>
        <w:pStyle w:val="ListParagraph"/>
        <w:numPr>
          <w:ilvl w:val="0"/>
          <w:numId w:val="3"/>
        </w:numPr>
        <w:spacing w:after="80"/>
      </w:pPr>
      <w:r>
        <w:rPr>
          <w:sz w:val="22"/>
          <w:szCs w:val="22"/>
        </w:rPr>
        <w:t xml:space="preserve">Obtain consent verbally or in writing as appropriate. Written consent is required for Service Agreements, information sharing with third parties, photographs/recordings, and any support involving significant risk.</w:t>
      </w:r>
    </w:p>
    <w:p>
      <w:pPr>
        <w:pStyle w:val="ListParagraph"/>
        <w:numPr>
          <w:ilvl w:val="0"/>
          <w:numId w:val="3"/>
        </w:numPr>
        <w:spacing w:after="80"/>
      </w:pPr>
      <w:r>
        <w:rPr>
          <w:sz w:val="22"/>
          <w:szCs w:val="22"/>
        </w:rPr>
        <w:t xml:space="preserve">Document the consent process, including what information was provided and how the participant communicated their decision.</w:t>
      </w:r>
    </w:p>
    <w:p>
      <w:pPr>
        <w:pStyle w:val="ListParagraph"/>
        <w:numPr>
          <w:ilvl w:val="0"/>
          <w:numId w:val="3"/>
        </w:numPr>
        <w:spacing w:after="80"/>
      </w:pPr>
      <w:r>
        <w:rPr>
          <w:sz w:val="22"/>
          <w:szCs w:val="22"/>
        </w:rPr>
        <w:t xml:space="preserve">Review consent regularly, particularly when support arrangements change.</w:t>
      </w:r>
    </w:p>
    <w:p>
      <w:pPr>
        <w:pStyle w:val="Heading1"/>
      </w:pPr>
      <w:r>
        <w:t xml:space="preserve">6. Responsibilities</w:t>
      </w:r>
    </w:p>
    <w:p>
      <w:pPr>
        <w:spacing w:after="120"/>
      </w:pPr>
      <w:r>
        <w:rPr>
          <w:b/>
          <w:bCs/>
          <w:sz w:val="22"/>
          <w:szCs w:val="22"/>
        </w:rPr>
        <w:t xml:space="preserve">Director: </w:t>
      </w:r>
      <w:r>
        <w:rPr>
          <w:sz w:val="22"/>
          <w:szCs w:val="22"/>
        </w:rPr>
        <w:t xml:space="preserve">Ensure consent processes are embedded in practice, provide accessible consent materials, and resolve consent-related concerns.</w:t>
      </w:r>
    </w:p>
    <w:p>
      <w:pPr>
        <w:spacing w:after="120"/>
      </w:pPr>
      <w:r>
        <w:rPr>
          <w:b/>
          <w:bCs/>
          <w:sz w:val="22"/>
          <w:szCs w:val="22"/>
        </w:rPr>
        <w:t xml:space="preserve">Workers: </w:t>
      </w:r>
      <w:r>
        <w:rPr>
          <w:sz w:val="22"/>
          <w:szCs w:val="22"/>
        </w:rPr>
        <w:t xml:space="preserve">Obtain and document valid consent, support participants in decision-making, and respect participants' decisions including refusals.</w:t>
      </w:r>
    </w:p>
    <w:p>
      <w:pPr>
        <w:pStyle w:val="Heading1"/>
      </w:pPr>
      <w:r>
        <w:t xml:space="preserve">7. Related Documents</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POL-RS-004 Dignity of Risk and Duty of Care Policy</w:t>
      </w:r>
    </w:p>
    <w:p>
      <w:pPr>
        <w:pStyle w:val="ListParagraph"/>
        <w:numPr>
          <w:ilvl w:val="0"/>
          <w:numId w:val="2"/>
        </w:numPr>
        <w:spacing w:after="80"/>
      </w:pPr>
      <w:r>
        <w:rPr>
          <w:sz w:val="22"/>
          <w:szCs w:val="22"/>
        </w:rPr>
        <w:t xml:space="preserve">POL-SD-002 Service Agreement Policy</w:t>
      </w:r>
    </w:p>
    <w:p>
      <w:pPr>
        <w:pStyle w:val="ListParagraph"/>
        <w:numPr>
          <w:ilvl w:val="0"/>
          <w:numId w:val="2"/>
        </w:numPr>
        <w:spacing w:after="80"/>
      </w:pPr>
      <w:r>
        <w:rPr>
          <w:sz w:val="22"/>
          <w:szCs w:val="22"/>
        </w:rPr>
        <w:t xml:space="preserve">Consent Form Template</w:t>
      </w:r>
    </w:p>
    <w:p>
      <w:pPr>
        <w:pStyle w:val="ListParagraph"/>
        <w:numPr>
          <w:ilvl w:val="0"/>
          <w:numId w:val="2"/>
        </w:numPr>
        <w:spacing w:after="80"/>
      </w:pPr>
      <w:r>
        <w:rPr>
          <w:sz w:val="22"/>
          <w:szCs w:val="22"/>
        </w:rPr>
        <w:t xml:space="preserve">Information Sharing Authority Form</w:t>
      </w:r>
    </w:p>
    <w:p>
      <w:pPr>
        <w:pStyle w:val="Heading1"/>
      </w:pPr>
      <w:r>
        <w:t xml:space="preserve">8. Review</w:t>
      </w:r>
    </w:p>
    <w:p>
      <w:pPr>
        <w:spacing w:after="120"/>
      </w:pPr>
      <w:r>
        <w:rPr>
          <w:sz w:val="22"/>
          <w:szCs w:val="22"/>
        </w:rPr>
        <w:t xml:space="preserve">This policy will be reviewed annually or sooner following legislative changes or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POL-RS-003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Informed Consent and Decision Making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2026-03-11T06:59:02.449Z</dcterms:created>
  <dcterms:modified xsi:type="dcterms:W3CDTF">2026-03-11T06:59:02.449Z</dcterms:modified>
</cp:coreProperties>
</file>

<file path=docProps/custom.xml><?xml version="1.0" encoding="utf-8"?>
<Properties xmlns="http://schemas.openxmlformats.org/officeDocument/2006/custom-properties" xmlns:vt="http://schemas.openxmlformats.org/officeDocument/2006/docPropsVTypes"/>
</file>