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SUPPORTED DECISION MAKING</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POL-RS-008</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a comprehensive framework for supporting NDIS participants to make their own decisions. Asina Disability Services is committed to maximising participant autonomy and self-determination by providing decision-making support that is tailored to each individual's communication, cognitive, and cultural needs.</w:t>
      </w:r>
    </w:p>
    <w:p>
      <w:pPr>
        <w:pStyle w:val="Heading1"/>
      </w:pPr>
      <w:r>
        <w:t xml:space="preserve">2. Scope</w:t>
      </w:r>
    </w:p>
    <w:p>
      <w:pPr>
        <w:spacing w:after="120"/>
      </w:pPr>
      <w:r>
        <w:rPr>
          <w:sz w:val="22"/>
          <w:szCs w:val="22"/>
        </w:rPr>
        <w:t xml:space="preserve">This policy applies to all workers and all decisions made in the context of support delivery, from everyday choices to significant life decisions.</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Core Module: Rights and Responsibilities (Independence and Informed Choice)</w:t>
      </w:r>
    </w:p>
    <w:p>
      <w:pPr>
        <w:pStyle w:val="ListParagraph"/>
        <w:numPr>
          <w:ilvl w:val="0"/>
          <w:numId w:val="2"/>
        </w:numPr>
        <w:spacing w:after="80"/>
      </w:pPr>
      <w:r>
        <w:rPr>
          <w:sz w:val="22"/>
          <w:szCs w:val="22"/>
        </w:rPr>
        <w:t xml:space="preserve">NDIS Act 2013 (Cth) - Section 4 (Principles: choice, control, and self-determination)</w:t>
      </w:r>
    </w:p>
    <w:p>
      <w:pPr>
        <w:pStyle w:val="ListParagraph"/>
        <w:numPr>
          <w:ilvl w:val="0"/>
          <w:numId w:val="2"/>
        </w:numPr>
        <w:spacing w:after="80"/>
      </w:pPr>
      <w:r>
        <w:rPr>
          <w:sz w:val="22"/>
          <w:szCs w:val="22"/>
        </w:rPr>
        <w:t xml:space="preserve">NDIS Code of Conduct</w:t>
      </w:r>
    </w:p>
    <w:p>
      <w:pPr>
        <w:pStyle w:val="ListParagraph"/>
        <w:numPr>
          <w:ilvl w:val="0"/>
          <w:numId w:val="2"/>
        </w:numPr>
        <w:spacing w:after="80"/>
      </w:pPr>
      <w:r>
        <w:rPr>
          <w:sz w:val="22"/>
          <w:szCs w:val="22"/>
        </w:rPr>
        <w:t xml:space="preserve">Guardianship Act 1987 (NSW)</w:t>
      </w:r>
    </w:p>
    <w:p>
      <w:pPr>
        <w:pStyle w:val="ListParagraph"/>
        <w:numPr>
          <w:ilvl w:val="0"/>
          <w:numId w:val="2"/>
        </w:numPr>
        <w:spacing w:after="80"/>
      </w:pPr>
      <w:r>
        <w:rPr>
          <w:sz w:val="22"/>
          <w:szCs w:val="22"/>
        </w:rPr>
        <w:t xml:space="preserve">NSW Capacity Toolkit (NSW Attorney General's Department)</w:t>
      </w:r>
    </w:p>
    <w:p>
      <w:pPr>
        <w:pStyle w:val="ListParagraph"/>
        <w:numPr>
          <w:ilvl w:val="0"/>
          <w:numId w:val="2"/>
        </w:numPr>
        <w:spacing w:after="80"/>
      </w:pPr>
      <w:r>
        <w:rPr>
          <w:sz w:val="22"/>
          <w:szCs w:val="22"/>
        </w:rPr>
        <w:t xml:space="preserve">UNCRPD - Article 12 (Equal recognition before the law)</w:t>
      </w:r>
    </w:p>
    <w:p>
      <w:pPr>
        <w:pStyle w:val="Heading1"/>
      </w:pPr>
      <w:r>
        <w:t xml:space="preserve">4. Key Principles</w:t>
      </w:r>
    </w:p>
    <w:p>
      <w:pPr>
        <w:pStyle w:val="Heading2"/>
      </w:pPr>
      <w:r>
        <w:t xml:space="preserve">4.1 Presumption of Capacity</w:t>
      </w:r>
    </w:p>
    <w:p>
      <w:pPr>
        <w:spacing w:after="120"/>
      </w:pPr>
      <w:r>
        <w:rPr>
          <w:sz w:val="22"/>
          <w:szCs w:val="22"/>
        </w:rPr>
        <w:t xml:space="preserve">Every adult is presumed to have the capacity to make their own decisions. This presumption applies regardless of:</w:t>
      </w:r>
    </w:p>
    <w:p>
      <w:pPr>
        <w:pStyle w:val="ListParagraph"/>
        <w:numPr>
          <w:ilvl w:val="0"/>
          <w:numId w:val="2"/>
        </w:numPr>
        <w:spacing w:after="80"/>
      </w:pPr>
      <w:r>
        <w:rPr>
          <w:sz w:val="22"/>
          <w:szCs w:val="22"/>
        </w:rPr>
        <w:t xml:space="preserve">The type or severity of the person's disability</w:t>
      </w:r>
    </w:p>
    <w:p>
      <w:pPr>
        <w:pStyle w:val="ListParagraph"/>
        <w:numPr>
          <w:ilvl w:val="0"/>
          <w:numId w:val="2"/>
        </w:numPr>
        <w:spacing w:after="80"/>
      </w:pPr>
      <w:r>
        <w:rPr>
          <w:sz w:val="22"/>
          <w:szCs w:val="22"/>
        </w:rPr>
        <w:t xml:space="preserve">The person's communication method or ability</w:t>
      </w:r>
    </w:p>
    <w:p>
      <w:pPr>
        <w:pStyle w:val="ListParagraph"/>
        <w:numPr>
          <w:ilvl w:val="0"/>
          <w:numId w:val="2"/>
        </w:numPr>
        <w:spacing w:after="80"/>
      </w:pPr>
      <w:r>
        <w:rPr>
          <w:sz w:val="22"/>
          <w:szCs w:val="22"/>
        </w:rPr>
        <w:t xml:space="preserve">Whether the person has previously made decisions that others consider unwise</w:t>
      </w:r>
    </w:p>
    <w:p>
      <w:pPr>
        <w:pStyle w:val="ListParagraph"/>
        <w:numPr>
          <w:ilvl w:val="0"/>
          <w:numId w:val="2"/>
        </w:numPr>
        <w:spacing w:after="80"/>
      </w:pPr>
      <w:r>
        <w:rPr>
          <w:sz w:val="22"/>
          <w:szCs w:val="22"/>
        </w:rPr>
        <w:t xml:space="preserve">Whether the person has a guardian or nominee (who may only have authority for specific decisions)</w:t>
      </w:r>
    </w:p>
    <w:p>
      <w:pPr>
        <w:spacing w:after="120"/>
      </w:pPr>
      <w:r>
        <w:rPr>
          <w:sz w:val="22"/>
          <w:szCs w:val="22"/>
        </w:rPr>
        <w:t xml:space="preserve">Capacity is decision-specific, not global. A person may have capacity for some decisions but not others. Capacity may also fluctuate over time.</w:t>
      </w:r>
    </w:p>
    <w:p>
      <w:pPr>
        <w:pStyle w:val="Heading2"/>
      </w:pPr>
      <w:r>
        <w:t xml:space="preserve">4.2 The Right to Make Unwise Decisions</w:t>
      </w:r>
    </w:p>
    <w:p>
      <w:pPr>
        <w:spacing w:after="120"/>
      </w:pPr>
      <w:r>
        <w:rPr>
          <w:sz w:val="22"/>
          <w:szCs w:val="22"/>
        </w:rPr>
        <w:t xml:space="preserve">People with disability have the same right as anyone to make decisions that others might consider unwise, risky, or unconventional. Making an unwise decision does not indicate a lack of capacity. Workers must not override a participant's decision simply because they disagree with it (see Dignity of Risk and Duty of Care Policy).</w:t>
      </w:r>
    </w:p>
    <w:p>
      <w:pPr>
        <w:pStyle w:val="Heading2"/>
      </w:pPr>
      <w:r>
        <w:t xml:space="preserve">4.3 Supported Decision Making vs Substitute Decision Making</w:t>
      </w:r>
    </w:p>
    <w:p>
      <w:pPr>
        <w:spacing w:after="120"/>
      </w:pPr>
      <w:r>
        <w:rPr>
          <w:sz w:val="22"/>
          <w:szCs w:val="22"/>
        </w:rPr>
        <w:t xml:space="preserve">Supported decision making means providing assistance so the person can make their own decision. Substitute decision making means someone else makes the decision on the person's behalf. Supported decision making is always preferred and must be exhausted before considering substitute decision making.</w:t>
      </w:r>
    </w:p>
    <w:p>
      <w:pPr>
        <w:pStyle w:val="Heading1"/>
      </w:pPr>
      <w:r>
        <w:t xml:space="preserve">5. Policy Statement</w:t>
      </w:r>
    </w:p>
    <w:p>
      <w:pPr>
        <w:pStyle w:val="Heading2"/>
      </w:pPr>
      <w:r>
        <w:t xml:space="preserve">5.1 Supported Decision Making Framework</w:t>
      </w:r>
    </w:p>
    <w:p>
      <w:pPr>
        <w:spacing w:after="120"/>
      </w:pPr>
      <w:r>
        <w:rPr>
          <w:sz w:val="22"/>
          <w:szCs w:val="22"/>
        </w:rPr>
        <w:t xml:space="preserve">Workers support participants to make decisions by:</w:t>
      </w:r>
    </w:p>
    <w:p>
      <w:pPr>
        <w:pStyle w:val="Heading3"/>
      </w:pPr>
      <w:r>
        <w:t xml:space="preserve">Step 1: Understand the Person</w:t>
      </w:r>
    </w:p>
    <w:p>
      <w:pPr>
        <w:pStyle w:val="ListParagraph"/>
        <w:numPr>
          <w:ilvl w:val="0"/>
          <w:numId w:val="2"/>
        </w:numPr>
        <w:spacing w:after="80"/>
      </w:pPr>
      <w:r>
        <w:rPr>
          <w:sz w:val="22"/>
          <w:szCs w:val="22"/>
        </w:rPr>
        <w:t xml:space="preserve">Learn the participant's preferred communication method</w:t>
      </w:r>
    </w:p>
    <w:p>
      <w:pPr>
        <w:pStyle w:val="ListParagraph"/>
        <w:numPr>
          <w:ilvl w:val="0"/>
          <w:numId w:val="2"/>
        </w:numPr>
        <w:spacing w:after="80"/>
      </w:pPr>
      <w:r>
        <w:rPr>
          <w:sz w:val="22"/>
          <w:szCs w:val="22"/>
        </w:rPr>
        <w:t xml:space="preserve">Understand their values, preferences, cultural background, and what matters to them</w:t>
      </w:r>
    </w:p>
    <w:p>
      <w:pPr>
        <w:pStyle w:val="ListParagraph"/>
        <w:numPr>
          <w:ilvl w:val="0"/>
          <w:numId w:val="2"/>
        </w:numPr>
        <w:spacing w:after="80"/>
      </w:pPr>
      <w:r>
        <w:rPr>
          <w:sz w:val="22"/>
          <w:szCs w:val="22"/>
        </w:rPr>
        <w:t xml:space="preserve">Identify who the participant trusts and wants involved in their decisions</w:t>
      </w:r>
    </w:p>
    <w:p>
      <w:pPr>
        <w:pStyle w:val="ListParagraph"/>
        <w:numPr>
          <w:ilvl w:val="0"/>
          <w:numId w:val="2"/>
        </w:numPr>
        <w:spacing w:after="80"/>
      </w:pPr>
      <w:r>
        <w:rPr>
          <w:sz w:val="22"/>
          <w:szCs w:val="22"/>
        </w:rPr>
        <w:t xml:space="preserve">Review their Individual Support Plan for documented preferences</w:t>
      </w:r>
    </w:p>
    <w:p>
      <w:pPr>
        <w:pStyle w:val="Heading3"/>
      </w:pPr>
      <w:r>
        <w:t xml:space="preserve">Step 2: Present Information Accessibly</w:t>
      </w:r>
    </w:p>
    <w:p>
      <w:pPr>
        <w:pStyle w:val="ListParagraph"/>
        <w:numPr>
          <w:ilvl w:val="0"/>
          <w:numId w:val="2"/>
        </w:numPr>
        <w:spacing w:after="80"/>
      </w:pPr>
      <w:r>
        <w:rPr>
          <w:sz w:val="22"/>
          <w:szCs w:val="22"/>
        </w:rPr>
        <w:t xml:space="preserve">Provide information in the participant's preferred format (verbal, written, Easy Read, visual aids, Auslan, translated)</w:t>
      </w:r>
    </w:p>
    <w:p>
      <w:pPr>
        <w:pStyle w:val="ListParagraph"/>
        <w:numPr>
          <w:ilvl w:val="0"/>
          <w:numId w:val="2"/>
        </w:numPr>
        <w:spacing w:after="80"/>
      </w:pPr>
      <w:r>
        <w:rPr>
          <w:sz w:val="22"/>
          <w:szCs w:val="22"/>
        </w:rPr>
        <w:t xml:space="preserve">Use plain language and avoid jargon</w:t>
      </w:r>
    </w:p>
    <w:p>
      <w:pPr>
        <w:pStyle w:val="ListParagraph"/>
        <w:numPr>
          <w:ilvl w:val="0"/>
          <w:numId w:val="2"/>
        </w:numPr>
        <w:spacing w:after="80"/>
      </w:pPr>
      <w:r>
        <w:rPr>
          <w:sz w:val="22"/>
          <w:szCs w:val="22"/>
        </w:rPr>
        <w:t xml:space="preserve">Break complex decisions into smaller steps</w:t>
      </w:r>
    </w:p>
    <w:p>
      <w:pPr>
        <w:pStyle w:val="ListParagraph"/>
        <w:numPr>
          <w:ilvl w:val="0"/>
          <w:numId w:val="2"/>
        </w:numPr>
        <w:spacing w:after="80"/>
      </w:pPr>
      <w:r>
        <w:rPr>
          <w:sz w:val="22"/>
          <w:szCs w:val="22"/>
        </w:rPr>
        <w:t xml:space="preserve">Use real-life examples or show options concretely where possible</w:t>
      </w:r>
    </w:p>
    <w:p>
      <w:pPr>
        <w:pStyle w:val="ListParagraph"/>
        <w:numPr>
          <w:ilvl w:val="0"/>
          <w:numId w:val="2"/>
        </w:numPr>
        <w:spacing w:after="80"/>
      </w:pPr>
      <w:r>
        <w:rPr>
          <w:sz w:val="22"/>
          <w:szCs w:val="22"/>
        </w:rPr>
        <w:t xml:space="preserve">Provide information about all available options, not just one</w:t>
      </w:r>
    </w:p>
    <w:p>
      <w:pPr>
        <w:pStyle w:val="ListParagraph"/>
        <w:numPr>
          <w:ilvl w:val="0"/>
          <w:numId w:val="2"/>
        </w:numPr>
        <w:spacing w:after="80"/>
      </w:pPr>
      <w:r>
        <w:rPr>
          <w:sz w:val="22"/>
          <w:szCs w:val="22"/>
        </w:rPr>
        <w:t xml:space="preserve">Explain the potential benefits, risks, and consequences of each option</w:t>
      </w:r>
    </w:p>
    <w:p>
      <w:pPr>
        <w:pStyle w:val="Heading3"/>
      </w:pPr>
      <w:r>
        <w:t xml:space="preserve">Step 3: Allow Adequate Time</w:t>
      </w:r>
    </w:p>
    <w:p>
      <w:pPr>
        <w:pStyle w:val="ListParagraph"/>
        <w:numPr>
          <w:ilvl w:val="0"/>
          <w:numId w:val="2"/>
        </w:numPr>
        <w:spacing w:after="80"/>
      </w:pPr>
      <w:r>
        <w:rPr>
          <w:sz w:val="22"/>
          <w:szCs w:val="22"/>
        </w:rPr>
        <w:t xml:space="preserve">Do not rush the participant</w:t>
      </w:r>
    </w:p>
    <w:p>
      <w:pPr>
        <w:pStyle w:val="ListParagraph"/>
        <w:numPr>
          <w:ilvl w:val="0"/>
          <w:numId w:val="2"/>
        </w:numPr>
        <w:spacing w:after="80"/>
      </w:pPr>
      <w:r>
        <w:rPr>
          <w:sz w:val="22"/>
          <w:szCs w:val="22"/>
        </w:rPr>
        <w:t xml:space="preserve">Allow time for the person to process information, consult trusted people, and consider their options</w:t>
      </w:r>
    </w:p>
    <w:p>
      <w:pPr>
        <w:pStyle w:val="ListParagraph"/>
        <w:numPr>
          <w:ilvl w:val="0"/>
          <w:numId w:val="2"/>
        </w:numPr>
        <w:spacing w:after="80"/>
      </w:pPr>
      <w:r>
        <w:rPr>
          <w:sz w:val="22"/>
          <w:szCs w:val="22"/>
        </w:rPr>
        <w:t xml:space="preserve">Offer to revisit the decision at a later time if the person needs more time</w:t>
      </w:r>
    </w:p>
    <w:p>
      <w:pPr>
        <w:pStyle w:val="ListParagraph"/>
        <w:numPr>
          <w:ilvl w:val="0"/>
          <w:numId w:val="2"/>
        </w:numPr>
        <w:spacing w:after="80"/>
      </w:pPr>
      <w:r>
        <w:rPr>
          <w:sz w:val="22"/>
          <w:szCs w:val="22"/>
        </w:rPr>
        <w:t xml:space="preserve">Recognise that some participants may process information better at certain times of day</w:t>
      </w:r>
    </w:p>
    <w:p>
      <w:pPr>
        <w:pStyle w:val="Heading3"/>
      </w:pPr>
      <w:r>
        <w:t xml:space="preserve">Step 4: Support the Decision</w:t>
      </w:r>
    </w:p>
    <w:p>
      <w:pPr>
        <w:pStyle w:val="ListParagraph"/>
        <w:numPr>
          <w:ilvl w:val="0"/>
          <w:numId w:val="2"/>
        </w:numPr>
        <w:spacing w:after="80"/>
      </w:pPr>
      <w:r>
        <w:rPr>
          <w:sz w:val="22"/>
          <w:szCs w:val="22"/>
        </w:rPr>
        <w:t xml:space="preserve">Ask open questions rather than leading questions</w:t>
      </w:r>
    </w:p>
    <w:p>
      <w:pPr>
        <w:pStyle w:val="ListParagraph"/>
        <w:numPr>
          <w:ilvl w:val="0"/>
          <w:numId w:val="2"/>
        </w:numPr>
        <w:spacing w:after="80"/>
      </w:pPr>
      <w:r>
        <w:rPr>
          <w:sz w:val="22"/>
          <w:szCs w:val="22"/>
        </w:rPr>
        <w:t xml:space="preserve">Do not express opinions that could unduly influence the participant</w:t>
      </w:r>
    </w:p>
    <w:p>
      <w:pPr>
        <w:pStyle w:val="ListParagraph"/>
        <w:numPr>
          <w:ilvl w:val="0"/>
          <w:numId w:val="2"/>
        </w:numPr>
        <w:spacing w:after="80"/>
      </w:pPr>
      <w:r>
        <w:rPr>
          <w:sz w:val="22"/>
          <w:szCs w:val="22"/>
        </w:rPr>
        <w:t xml:space="preserve">If the participant asks for your view, provide balanced information rather than directing the decision</w:t>
      </w:r>
    </w:p>
    <w:p>
      <w:pPr>
        <w:pStyle w:val="ListParagraph"/>
        <w:numPr>
          <w:ilvl w:val="0"/>
          <w:numId w:val="2"/>
        </w:numPr>
        <w:spacing w:after="80"/>
      </w:pPr>
      <w:r>
        <w:rPr>
          <w:sz w:val="22"/>
          <w:szCs w:val="22"/>
        </w:rPr>
        <w:t xml:space="preserve">Support the participant to communicate their decision in their preferred way</w:t>
      </w:r>
    </w:p>
    <w:p>
      <w:pPr>
        <w:pStyle w:val="ListParagraph"/>
        <w:numPr>
          <w:ilvl w:val="0"/>
          <w:numId w:val="2"/>
        </w:numPr>
        <w:spacing w:after="80"/>
      </w:pPr>
      <w:r>
        <w:rPr>
          <w:sz w:val="22"/>
          <w:szCs w:val="22"/>
        </w:rPr>
        <w:t xml:space="preserve">Accept and implement the participant's decision</w:t>
      </w:r>
    </w:p>
    <w:p>
      <w:pPr>
        <w:pStyle w:val="Heading3"/>
      </w:pPr>
      <w:r>
        <w:t xml:space="preserve">Step 5: Document</w:t>
      </w:r>
    </w:p>
    <w:p>
      <w:pPr>
        <w:pStyle w:val="ListParagraph"/>
        <w:numPr>
          <w:ilvl w:val="0"/>
          <w:numId w:val="2"/>
        </w:numPr>
        <w:spacing w:after="80"/>
      </w:pPr>
      <w:r>
        <w:rPr>
          <w:sz w:val="22"/>
          <w:szCs w:val="22"/>
        </w:rPr>
        <w:t xml:space="preserve">Record the decision-making process, what information was provided, how it was provided, and the participant's decision</w:t>
      </w:r>
    </w:p>
    <w:p>
      <w:pPr>
        <w:pStyle w:val="ListParagraph"/>
        <w:numPr>
          <w:ilvl w:val="0"/>
          <w:numId w:val="2"/>
        </w:numPr>
        <w:spacing w:after="80"/>
      </w:pPr>
      <w:r>
        <w:rPr>
          <w:sz w:val="22"/>
          <w:szCs w:val="22"/>
        </w:rPr>
        <w:t xml:space="preserve">If the decision involves risk, document the risk discussion (see Dignity of Risk Policy)</w:t>
      </w:r>
    </w:p>
    <w:p>
      <w:pPr>
        <w:pStyle w:val="Heading2"/>
      </w:pPr>
      <w:r>
        <w:t xml:space="preserve">5.2 Communication Supports</w:t>
      </w:r>
    </w:p>
    <w:p>
      <w:pPr>
        <w:spacing w:after="120"/>
      </w:pPr>
      <w:r>
        <w:rPr>
          <w:sz w:val="22"/>
          <w:szCs w:val="22"/>
        </w:rPr>
        <w:t xml:space="preserve">Asina Disability Services ensures appropriate communication supports are available:</w:t>
      </w:r>
    </w:p>
    <w:p>
      <w:pPr>
        <w:pStyle w:val="ListParagraph"/>
        <w:numPr>
          <w:ilvl w:val="0"/>
          <w:numId w:val="2"/>
        </w:numPr>
        <w:spacing w:after="80"/>
      </w:pPr>
      <w:r>
        <w:rPr>
          <w:sz w:val="22"/>
          <w:szCs w:val="22"/>
        </w:rPr>
        <w:t xml:space="preserve">Interpreter services for participants from CALD backgrounds</w:t>
      </w:r>
    </w:p>
    <w:p>
      <w:pPr>
        <w:pStyle w:val="ListParagraph"/>
        <w:numPr>
          <w:ilvl w:val="0"/>
          <w:numId w:val="2"/>
        </w:numPr>
        <w:spacing w:after="80"/>
      </w:pPr>
      <w:r>
        <w:rPr>
          <w:sz w:val="22"/>
          <w:szCs w:val="22"/>
        </w:rPr>
        <w:t xml:space="preserve">Auslan interpreters for participants who are Deaf or hard of hearing</w:t>
      </w:r>
    </w:p>
    <w:p>
      <w:pPr>
        <w:pStyle w:val="ListParagraph"/>
        <w:numPr>
          <w:ilvl w:val="0"/>
          <w:numId w:val="2"/>
        </w:numPr>
        <w:spacing w:after="80"/>
      </w:pPr>
      <w:r>
        <w:rPr>
          <w:sz w:val="22"/>
          <w:szCs w:val="22"/>
        </w:rPr>
        <w:t xml:space="preserve">Easy Read and visual materials for key decisions (Service Agreements, consent forms, rights information)</w:t>
      </w:r>
    </w:p>
    <w:p>
      <w:pPr>
        <w:pStyle w:val="ListParagraph"/>
        <w:numPr>
          <w:ilvl w:val="0"/>
          <w:numId w:val="2"/>
        </w:numPr>
        <w:spacing w:after="80"/>
      </w:pPr>
      <w:r>
        <w:rPr>
          <w:sz w:val="22"/>
          <w:szCs w:val="22"/>
        </w:rPr>
        <w:t xml:space="preserve">Communication aids and assistive technology as identified in the participant's plan</w:t>
      </w:r>
    </w:p>
    <w:p>
      <w:pPr>
        <w:pStyle w:val="ListParagraph"/>
        <w:numPr>
          <w:ilvl w:val="0"/>
          <w:numId w:val="2"/>
        </w:numPr>
        <w:spacing w:after="80"/>
      </w:pPr>
      <w:r>
        <w:rPr>
          <w:sz w:val="22"/>
          <w:szCs w:val="22"/>
        </w:rPr>
        <w:t xml:space="preserve">Key person/speech pathologist involvement where communication is complex</w:t>
      </w:r>
    </w:p>
    <w:p>
      <w:pPr>
        <w:pStyle w:val="Heading2"/>
      </w:pPr>
      <w:r>
        <w:t xml:space="preserve">5.3 When Substitute Decision Making May Apply</w:t>
      </w:r>
    </w:p>
    <w:p>
      <w:pPr>
        <w:spacing w:after="120"/>
      </w:pPr>
      <w:r>
        <w:rPr>
          <w:sz w:val="22"/>
          <w:szCs w:val="22"/>
        </w:rPr>
        <w:t xml:space="preserve">Substitute decision making is only appropriate when:</w:t>
      </w:r>
    </w:p>
    <w:p>
      <w:pPr>
        <w:pStyle w:val="ListParagraph"/>
        <w:numPr>
          <w:ilvl w:val="0"/>
          <w:numId w:val="2"/>
        </w:numPr>
        <w:spacing w:after="80"/>
      </w:pPr>
      <w:r>
        <w:rPr>
          <w:sz w:val="22"/>
          <w:szCs w:val="22"/>
        </w:rPr>
        <w:t xml:space="preserve">All supported decision making options have been genuinely exhausted</w:t>
      </w:r>
    </w:p>
    <w:p>
      <w:pPr>
        <w:pStyle w:val="ListParagraph"/>
        <w:numPr>
          <w:ilvl w:val="0"/>
          <w:numId w:val="2"/>
        </w:numPr>
        <w:spacing w:after="80"/>
      </w:pPr>
      <w:r>
        <w:rPr>
          <w:sz w:val="22"/>
          <w:szCs w:val="22"/>
        </w:rPr>
        <w:t xml:space="preserve">There is clear evidence that the person lacks capacity for the specific decision at the specific time</w:t>
      </w:r>
    </w:p>
    <w:p>
      <w:pPr>
        <w:pStyle w:val="ListParagraph"/>
        <w:numPr>
          <w:ilvl w:val="0"/>
          <w:numId w:val="2"/>
        </w:numPr>
        <w:spacing w:after="80"/>
      </w:pPr>
      <w:r>
        <w:rPr>
          <w:sz w:val="22"/>
          <w:szCs w:val="22"/>
        </w:rPr>
        <w:t xml:space="preserve">The decision is being made by a legally authorised decision-maker (guardian, financial manager, or person responsible under the Guardianship Act 1987 NSW)</w:t>
      </w:r>
    </w:p>
    <w:p>
      <w:pPr>
        <w:pStyle w:val="ListParagraph"/>
        <w:numPr>
          <w:ilvl w:val="0"/>
          <w:numId w:val="2"/>
        </w:numPr>
        <w:spacing w:after="80"/>
      </w:pPr>
      <w:r>
        <w:rPr>
          <w:sz w:val="22"/>
          <w:szCs w:val="22"/>
        </w:rPr>
        <w:t xml:space="preserve">The substitute decision-maker acts in the person's best interests and considers the person's known wishes and preferences</w:t>
      </w:r>
    </w:p>
    <w:p>
      <w:pPr>
        <w:pStyle w:val="ListParagraph"/>
        <w:numPr>
          <w:ilvl w:val="0"/>
          <w:numId w:val="2"/>
        </w:numPr>
        <w:spacing w:after="80"/>
      </w:pPr>
      <w:r>
        <w:rPr>
          <w:sz w:val="22"/>
          <w:szCs w:val="22"/>
        </w:rPr>
        <w:t xml:space="preserve">The person continues to be involved to the greatest extent possible</w:t>
      </w:r>
    </w:p>
    <w:p>
      <w:pPr>
        <w:pStyle w:val="ListParagraph"/>
        <w:numPr>
          <w:ilvl w:val="0"/>
          <w:numId w:val="2"/>
        </w:numPr>
        <w:spacing w:after="80"/>
      </w:pPr>
      <w:r>
        <w:rPr>
          <w:sz w:val="22"/>
          <w:szCs w:val="22"/>
        </w:rPr>
        <w:t xml:space="preserve">The authority of the substitute decision-maker is verified and documented</w:t>
      </w:r>
    </w:p>
    <w:p>
      <w:pPr>
        <w:pStyle w:val="Heading1"/>
      </w:pPr>
      <w:r>
        <w:t xml:space="preserve">6. Procedures</w:t>
      </w:r>
    </w:p>
    <w:p>
      <w:pPr>
        <w:pStyle w:val="ListParagraph"/>
        <w:numPr>
          <w:ilvl w:val="0"/>
          <w:numId w:val="3"/>
        </w:numPr>
        <w:spacing w:after="80"/>
      </w:pPr>
      <w:r>
        <w:rPr>
          <w:sz w:val="22"/>
          <w:szCs w:val="22"/>
        </w:rPr>
        <w:t xml:space="preserve">During intake, assess and document the participant's communication needs, preferred decision-making style, and who they want involved in decisions.</w:t>
      </w:r>
    </w:p>
    <w:p>
      <w:pPr>
        <w:pStyle w:val="ListParagraph"/>
        <w:numPr>
          <w:ilvl w:val="0"/>
          <w:numId w:val="3"/>
        </w:numPr>
        <w:spacing w:after="80"/>
      </w:pPr>
      <w:r>
        <w:rPr>
          <w:sz w:val="22"/>
          <w:szCs w:val="22"/>
        </w:rPr>
        <w:t xml:space="preserve">Identify and address any communication barriers (arrange interpreters, Easy Read materials, etc.).</w:t>
      </w:r>
    </w:p>
    <w:p>
      <w:pPr>
        <w:pStyle w:val="ListParagraph"/>
        <w:numPr>
          <w:ilvl w:val="0"/>
          <w:numId w:val="3"/>
        </w:numPr>
        <w:spacing w:after="80"/>
      </w:pPr>
      <w:r>
        <w:rPr>
          <w:sz w:val="22"/>
          <w:szCs w:val="22"/>
        </w:rPr>
        <w:t xml:space="preserve">For everyday decisions (what to eat, what to wear, activities), support decisions in the moment using the framework above.</w:t>
      </w:r>
    </w:p>
    <w:p>
      <w:pPr>
        <w:pStyle w:val="ListParagraph"/>
        <w:numPr>
          <w:ilvl w:val="0"/>
          <w:numId w:val="3"/>
        </w:numPr>
        <w:spacing w:after="80"/>
      </w:pPr>
      <w:r>
        <w:rPr>
          <w:sz w:val="22"/>
          <w:szCs w:val="22"/>
        </w:rPr>
        <w:t xml:space="preserve">For significant decisions (service changes, health decisions, accommodation), allow additional time and support as described above.</w:t>
      </w:r>
    </w:p>
    <w:p>
      <w:pPr>
        <w:pStyle w:val="ListParagraph"/>
        <w:numPr>
          <w:ilvl w:val="0"/>
          <w:numId w:val="3"/>
        </w:numPr>
        <w:spacing w:after="80"/>
      </w:pPr>
      <w:r>
        <w:rPr>
          <w:sz w:val="22"/>
          <w:szCs w:val="22"/>
        </w:rPr>
        <w:t xml:space="preserve">Document the decision-making process in progress notes and the Individual Support Plan.</w:t>
      </w:r>
    </w:p>
    <w:p>
      <w:pPr>
        <w:pStyle w:val="ListParagraph"/>
        <w:numPr>
          <w:ilvl w:val="0"/>
          <w:numId w:val="3"/>
        </w:numPr>
        <w:spacing w:after="80"/>
      </w:pPr>
      <w:r>
        <w:rPr>
          <w:sz w:val="22"/>
          <w:szCs w:val="22"/>
        </w:rPr>
        <w:t xml:space="preserve">If there are concerns about a participant's capacity for a specific decision, consult with the Director before proceeding. The Director may seek specialist assessment.</w:t>
      </w:r>
    </w:p>
    <w:p>
      <w:pPr>
        <w:pStyle w:val="ListParagraph"/>
        <w:numPr>
          <w:ilvl w:val="0"/>
          <w:numId w:val="3"/>
        </w:numPr>
        <w:spacing w:after="80"/>
      </w:pPr>
      <w:r>
        <w:rPr>
          <w:sz w:val="22"/>
          <w:szCs w:val="22"/>
        </w:rPr>
        <w:t xml:space="preserve">Where a guardian or nominee makes substitute decisions, verify their authority and document the scope of their decision-making power.</w:t>
      </w:r>
    </w:p>
    <w:p>
      <w:pPr>
        <w:pStyle w:val="Heading1"/>
      </w:pPr>
      <w:r>
        <w:t xml:space="preserve">7. Responsibilities</w:t>
      </w:r>
    </w:p>
    <w:p>
      <w:pPr>
        <w:spacing w:after="120"/>
      </w:pPr>
      <w:r>
        <w:rPr>
          <w:b/>
          <w:bCs/>
          <w:sz w:val="22"/>
          <w:szCs w:val="22"/>
        </w:rPr>
        <w:t xml:space="preserve">Director: </w:t>
      </w:r>
      <w:r>
        <w:rPr>
          <w:sz w:val="22"/>
          <w:szCs w:val="22"/>
        </w:rPr>
        <w:t xml:space="preserve">Ensure communication supports are available, train workers in supported decision making, address complex capacity concerns, verify substitute decision-maker authority, and monitor quality of decision-making support.</w:t>
      </w:r>
    </w:p>
    <w:p>
      <w:pPr>
        <w:spacing w:after="120"/>
      </w:pPr>
      <w:r>
        <w:rPr>
          <w:b/>
          <w:bCs/>
          <w:sz w:val="22"/>
          <w:szCs w:val="22"/>
        </w:rPr>
        <w:t xml:space="preserve">Workers: </w:t>
      </w:r>
      <w:r>
        <w:rPr>
          <w:sz w:val="22"/>
          <w:szCs w:val="22"/>
        </w:rPr>
        <w:t xml:space="preserve">Support participants to make their own decisions, use accessible communication, document the decision-making process, respect participant choices, and seek guidance for complex situations.</w:t>
      </w:r>
    </w:p>
    <w:p>
      <w:pPr>
        <w:pStyle w:val="Heading1"/>
      </w:pPr>
      <w:r>
        <w:t xml:space="preserve">8. Related Documents</w:t>
      </w:r>
    </w:p>
    <w:p>
      <w:pPr>
        <w:pStyle w:val="ListParagraph"/>
        <w:numPr>
          <w:ilvl w:val="0"/>
          <w:numId w:val="2"/>
        </w:numPr>
        <w:spacing w:after="80"/>
      </w:pPr>
      <w:r>
        <w:rPr>
          <w:sz w:val="22"/>
          <w:szCs w:val="22"/>
        </w:rPr>
        <w:t xml:space="preserve">POL-RS-003 Informed Consent and Decision Making Policy</w:t>
      </w:r>
    </w:p>
    <w:p>
      <w:pPr>
        <w:pStyle w:val="ListParagraph"/>
        <w:numPr>
          <w:ilvl w:val="0"/>
          <w:numId w:val="2"/>
        </w:numPr>
        <w:spacing w:after="80"/>
      </w:pPr>
      <w:r>
        <w:rPr>
          <w:sz w:val="22"/>
          <w:szCs w:val="22"/>
        </w:rPr>
        <w:t xml:space="preserve">POL-RS-004 Dignity of Risk and Duty of Care Policy</w:t>
      </w:r>
    </w:p>
    <w:p>
      <w:pPr>
        <w:pStyle w:val="ListParagraph"/>
        <w:numPr>
          <w:ilvl w:val="0"/>
          <w:numId w:val="2"/>
        </w:numPr>
        <w:spacing w:after="80"/>
      </w:pPr>
      <w:r>
        <w:rPr>
          <w:sz w:val="22"/>
          <w:szCs w:val="22"/>
        </w:rPr>
        <w:t xml:space="preserve">POL-RS-001 Participant Rights and Responsibilities Policy</w:t>
      </w:r>
    </w:p>
    <w:p>
      <w:pPr>
        <w:pStyle w:val="ListParagraph"/>
        <w:numPr>
          <w:ilvl w:val="0"/>
          <w:numId w:val="2"/>
        </w:numPr>
        <w:spacing w:after="80"/>
      </w:pPr>
      <w:r>
        <w:rPr>
          <w:sz w:val="22"/>
          <w:szCs w:val="22"/>
        </w:rPr>
        <w:t xml:space="preserve">POL-RS-006 Cultural Safety and Diversity Policy</w:t>
      </w:r>
    </w:p>
    <w:p>
      <w:pPr>
        <w:pStyle w:val="ListParagraph"/>
        <w:numPr>
          <w:ilvl w:val="0"/>
          <w:numId w:val="2"/>
        </w:numPr>
        <w:spacing w:after="80"/>
      </w:pPr>
      <w:r>
        <w:rPr>
          <w:sz w:val="22"/>
          <w:szCs w:val="22"/>
        </w:rPr>
        <w:t xml:space="preserve">POL-SD-003 Individual Support Planning Policy</w:t>
      </w:r>
    </w:p>
    <w:p>
      <w:pPr>
        <w:pStyle w:val="ListParagraph"/>
        <w:numPr>
          <w:ilvl w:val="0"/>
          <w:numId w:val="2"/>
        </w:numPr>
        <w:spacing w:after="80"/>
      </w:pPr>
      <w:r>
        <w:rPr>
          <w:sz w:val="22"/>
          <w:szCs w:val="22"/>
        </w:rPr>
        <w:t xml:space="preserve">Easy Read Service Agreement</w:t>
      </w:r>
    </w:p>
    <w:p>
      <w:pPr>
        <w:pStyle w:val="ListParagraph"/>
        <w:numPr>
          <w:ilvl w:val="0"/>
          <w:numId w:val="2"/>
        </w:numPr>
        <w:spacing w:after="80"/>
      </w:pPr>
      <w:r>
        <w:rPr>
          <w:sz w:val="22"/>
          <w:szCs w:val="22"/>
        </w:rPr>
        <w:t xml:space="preserve">Easy Read Rights Statement</w:t>
      </w:r>
    </w:p>
    <w:p>
      <w:pPr>
        <w:pStyle w:val="Heading1"/>
      </w:pPr>
      <w:r>
        <w:t xml:space="preserve">9. Review</w:t>
      </w:r>
    </w:p>
    <w:p>
      <w:pPr>
        <w:spacing w:after="120"/>
      </w:pPr>
      <w:r>
        <w:rPr>
          <w:sz w:val="22"/>
          <w:szCs w:val="22"/>
        </w:rPr>
        <w:t xml:space="preserve">This policy will be reviewed annually or sooner following audit findings, legislative changes, or feedback from participants about decision-making support.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POL-RS-008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Supported Decision Making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2026-03-11T07:26:22.823Z</dcterms:created>
  <dcterms:modified xsi:type="dcterms:W3CDTF">2026-03-11T07:26:22.823Z</dcterms:modified>
</cp:coreProperties>
</file>

<file path=docProps/custom.xml><?xml version="1.0" encoding="utf-8"?>
<Properties xmlns="http://schemas.openxmlformats.org/officeDocument/2006/custom-properties" xmlns:vt="http://schemas.openxmlformats.org/officeDocument/2006/docPropsVTypes"/>
</file>