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ACCESS TO SUPPORTS AND REFERRAL</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POL-SD-001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that NDIS participants can access Asina Disability Services' supports in a timely, transparent, and equitable manner. It also establishes procedures for referring participants to other providers when the organisation cannot meet their needs.</w:t>
      </w:r>
    </w:p>
    <w:p>
      <w:pPr>
        <w:pStyle w:val="Heading1"/>
      </w:pPr>
      <w:r>
        <w:t xml:space="preserve">2. Scope</w:t>
      </w:r>
    </w:p>
    <w:p>
      <w:pPr>
        <w:spacing w:after="120"/>
      </w:pPr>
      <w:r>
        <w:rPr>
          <w:sz w:val="22"/>
          <w:szCs w:val="22"/>
        </w:rPr>
        <w:t xml:space="preserve">This policy applies to all enquiries, referrals, and intake processes for potential and existing participants across all service types including supported independent living (SIL), community access, daily living supports, transport, meal preparation, drop-in support, and capacity building.</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Provision of Supports (Access to Supports)</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Disability Inclusion Act 2014 (NSW)</w:t>
      </w:r>
    </w:p>
    <w:p>
      <w:pPr>
        <w:pStyle w:val="Heading1"/>
      </w:pPr>
      <w:r>
        <w:t xml:space="preserve">4. Policy Statement</w:t>
      </w:r>
    </w:p>
    <w:p>
      <w:pPr>
        <w:pStyle w:val="Heading2"/>
      </w:pPr>
      <w:r>
        <w:t xml:space="preserve">4.1 Equitable Access</w:t>
      </w:r>
    </w:p>
    <w:p>
      <w:pPr>
        <w:spacing w:after="120"/>
      </w:pPr>
      <w:r>
        <w:rPr>
          <w:sz w:val="22"/>
          <w:szCs w:val="22"/>
        </w:rPr>
        <w:t xml:space="preserve">Asina Disability Services is committed to providing equitable access to supports for all NDIS participants. The organisation:</w:t>
      </w:r>
    </w:p>
    <w:p>
      <w:pPr>
        <w:pStyle w:val="ListParagraph"/>
        <w:numPr>
          <w:ilvl w:val="0"/>
          <w:numId w:val="2"/>
        </w:numPr>
        <w:spacing w:after="80"/>
      </w:pPr>
      <w:r>
        <w:rPr>
          <w:sz w:val="22"/>
          <w:szCs w:val="22"/>
        </w:rPr>
        <w:t xml:space="preserve">Does not discriminate on the basis of disability type, complexity of need, gender, age, cultural background, religion, sexual orientation, or geographic location within our service area</w:t>
      </w:r>
    </w:p>
    <w:p>
      <w:pPr>
        <w:pStyle w:val="ListParagraph"/>
        <w:numPr>
          <w:ilvl w:val="0"/>
          <w:numId w:val="2"/>
        </w:numPr>
        <w:spacing w:after="80"/>
      </w:pPr>
      <w:r>
        <w:rPr>
          <w:sz w:val="22"/>
          <w:szCs w:val="22"/>
        </w:rPr>
        <w:t xml:space="preserve">Provides clear and accessible information about available supports, costs, and how to access services</w:t>
      </w:r>
    </w:p>
    <w:p>
      <w:pPr>
        <w:pStyle w:val="ListParagraph"/>
        <w:numPr>
          <w:ilvl w:val="0"/>
          <w:numId w:val="2"/>
        </w:numPr>
        <w:spacing w:after="80"/>
      </w:pPr>
      <w:r>
        <w:rPr>
          <w:sz w:val="22"/>
          <w:szCs w:val="22"/>
        </w:rPr>
        <w:t xml:space="preserve">Responds to enquiries within 2 business days</w:t>
      </w:r>
    </w:p>
    <w:p>
      <w:pPr>
        <w:pStyle w:val="ListParagraph"/>
        <w:numPr>
          <w:ilvl w:val="0"/>
          <w:numId w:val="2"/>
        </w:numPr>
        <w:spacing w:after="80"/>
      </w:pPr>
      <w:r>
        <w:rPr>
          <w:sz w:val="22"/>
          <w:szCs w:val="22"/>
        </w:rPr>
        <w:t xml:space="preserve">Ensures information is available in accessible formats upon request</w:t>
      </w:r>
    </w:p>
    <w:p>
      <w:pPr>
        <w:pStyle w:val="Heading2"/>
      </w:pPr>
      <w:r>
        <w:t xml:space="preserve">4.2 Transparent Costs</w:t>
      </w:r>
    </w:p>
    <w:p>
      <w:pPr>
        <w:spacing w:after="120"/>
      </w:pPr>
      <w:r>
        <w:rPr>
          <w:sz w:val="22"/>
          <w:szCs w:val="22"/>
        </w:rPr>
        <w:t xml:space="preserve">All costs are communicated clearly before services commence:</w:t>
      </w:r>
    </w:p>
    <w:p>
      <w:pPr>
        <w:pStyle w:val="ListParagraph"/>
        <w:numPr>
          <w:ilvl w:val="0"/>
          <w:numId w:val="2"/>
        </w:numPr>
        <w:spacing w:after="80"/>
      </w:pPr>
      <w:r>
        <w:rPr>
          <w:sz w:val="22"/>
          <w:szCs w:val="22"/>
        </w:rPr>
        <w:t xml:space="preserve">Support pricing is in accordance with the NDIS Pricing Arrangements and Price Limits</w:t>
      </w:r>
    </w:p>
    <w:p>
      <w:pPr>
        <w:pStyle w:val="ListParagraph"/>
        <w:numPr>
          <w:ilvl w:val="0"/>
          <w:numId w:val="2"/>
        </w:numPr>
        <w:spacing w:after="80"/>
      </w:pPr>
      <w:r>
        <w:rPr>
          <w:sz w:val="22"/>
          <w:szCs w:val="22"/>
        </w:rPr>
        <w:t xml:space="preserve">A detailed quote or service agreement is provided before supports commence</w:t>
      </w:r>
    </w:p>
    <w:p>
      <w:pPr>
        <w:pStyle w:val="ListParagraph"/>
        <w:numPr>
          <w:ilvl w:val="0"/>
          <w:numId w:val="2"/>
        </w:numPr>
        <w:spacing w:after="80"/>
      </w:pPr>
      <w:r>
        <w:rPr>
          <w:sz w:val="22"/>
          <w:szCs w:val="22"/>
        </w:rPr>
        <w:t xml:space="preserve">Any changes to pricing are communicated in advance with reasonable notice</w:t>
      </w:r>
    </w:p>
    <w:p>
      <w:pPr>
        <w:pStyle w:val="ListParagraph"/>
        <w:numPr>
          <w:ilvl w:val="0"/>
          <w:numId w:val="2"/>
        </w:numPr>
        <w:spacing w:after="80"/>
      </w:pPr>
      <w:r>
        <w:rPr>
          <w:sz w:val="22"/>
          <w:szCs w:val="22"/>
        </w:rPr>
        <w:t xml:space="preserve">Participants are informed of any costs that may be incurred outside of their NDIS plan</w:t>
      </w:r>
    </w:p>
    <w:p>
      <w:pPr>
        <w:pStyle w:val="Heading2"/>
      </w:pPr>
      <w:r>
        <w:t xml:space="preserve">4.3 Referral to Other Providers</w:t>
      </w:r>
    </w:p>
    <w:p>
      <w:pPr>
        <w:spacing w:after="120"/>
      </w:pPr>
      <w:r>
        <w:rPr>
          <w:sz w:val="22"/>
          <w:szCs w:val="22"/>
        </w:rPr>
        <w:t xml:space="preserve">Where Asina Disability Services cannot meet a participant's needs, the organisation will:</w:t>
      </w:r>
    </w:p>
    <w:p>
      <w:pPr>
        <w:pStyle w:val="ListParagraph"/>
        <w:numPr>
          <w:ilvl w:val="0"/>
          <w:numId w:val="2"/>
        </w:numPr>
        <w:spacing w:after="80"/>
      </w:pPr>
      <w:r>
        <w:rPr>
          <w:sz w:val="22"/>
          <w:szCs w:val="22"/>
        </w:rPr>
        <w:t xml:space="preserve">Inform the participant promptly and explain the reasons</w:t>
      </w:r>
    </w:p>
    <w:p>
      <w:pPr>
        <w:pStyle w:val="ListParagraph"/>
        <w:numPr>
          <w:ilvl w:val="0"/>
          <w:numId w:val="2"/>
        </w:numPr>
        <w:spacing w:after="80"/>
      </w:pPr>
      <w:r>
        <w:rPr>
          <w:sz w:val="22"/>
          <w:szCs w:val="22"/>
        </w:rPr>
        <w:t xml:space="preserve">Assist the participant to identify and connect with alternative providers</w:t>
      </w:r>
    </w:p>
    <w:p>
      <w:pPr>
        <w:pStyle w:val="ListParagraph"/>
        <w:numPr>
          <w:ilvl w:val="0"/>
          <w:numId w:val="2"/>
        </w:numPr>
        <w:spacing w:after="80"/>
      </w:pPr>
      <w:r>
        <w:rPr>
          <w:sz w:val="22"/>
          <w:szCs w:val="22"/>
        </w:rPr>
        <w:t xml:space="preserve">With the participant's consent, provide relevant information to the new provider to support continuity</w:t>
      </w:r>
    </w:p>
    <w:p>
      <w:pPr>
        <w:pStyle w:val="ListParagraph"/>
        <w:numPr>
          <w:ilvl w:val="0"/>
          <w:numId w:val="2"/>
        </w:numPr>
        <w:spacing w:after="80"/>
      </w:pPr>
      <w:r>
        <w:rPr>
          <w:sz w:val="22"/>
          <w:szCs w:val="22"/>
        </w:rPr>
        <w:t xml:space="preserve">Follow up to ensure the participant has successfully connected with alternative supports</w:t>
      </w:r>
    </w:p>
    <w:p>
      <w:pPr>
        <w:pStyle w:val="Heading1"/>
      </w:pPr>
      <w:r>
        <w:t xml:space="preserve">5. Procedures</w:t>
      </w:r>
    </w:p>
    <w:p>
      <w:pPr>
        <w:pStyle w:val="Heading2"/>
      </w:pPr>
      <w:r>
        <w:t xml:space="preserve">5.1 Enquiry and Initial Contact</w:t>
      </w:r>
    </w:p>
    <w:p>
      <w:pPr>
        <w:pStyle w:val="ListParagraph"/>
        <w:numPr>
          <w:ilvl w:val="0"/>
          <w:numId w:val="3"/>
        </w:numPr>
        <w:spacing w:after="80"/>
      </w:pPr>
      <w:r>
        <w:rPr>
          <w:sz w:val="22"/>
          <w:szCs w:val="22"/>
        </w:rPr>
        <w:t xml:space="preserve">Enquiries are received via phone, email, website, or referral from third parties (e.g., Support Coordinators, LACs, hospitals).</w:t>
      </w:r>
    </w:p>
    <w:p>
      <w:pPr>
        <w:pStyle w:val="ListParagraph"/>
        <w:numPr>
          <w:ilvl w:val="0"/>
          <w:numId w:val="3"/>
        </w:numPr>
        <w:spacing w:after="80"/>
      </w:pPr>
      <w:r>
        <w:rPr>
          <w:sz w:val="22"/>
          <w:szCs w:val="22"/>
        </w:rPr>
        <w:t xml:space="preserve">The enquiry is recorded in the Enquiry Register with date, source, participant details, and supports requested.</w:t>
      </w:r>
    </w:p>
    <w:p>
      <w:pPr>
        <w:pStyle w:val="ListParagraph"/>
        <w:numPr>
          <w:ilvl w:val="0"/>
          <w:numId w:val="3"/>
        </w:numPr>
        <w:spacing w:after="80"/>
      </w:pPr>
      <w:r>
        <w:rPr>
          <w:sz w:val="22"/>
          <w:szCs w:val="22"/>
        </w:rPr>
        <w:t xml:space="preserve">Initial information is provided about the organisation, available supports, and next steps.</w:t>
      </w:r>
    </w:p>
    <w:p>
      <w:pPr>
        <w:pStyle w:val="ListParagraph"/>
        <w:numPr>
          <w:ilvl w:val="0"/>
          <w:numId w:val="3"/>
        </w:numPr>
        <w:spacing w:after="80"/>
      </w:pPr>
      <w:r>
        <w:rPr>
          <w:sz w:val="22"/>
          <w:szCs w:val="22"/>
        </w:rPr>
        <w:t xml:space="preserve">If the organisation can potentially meet the participant's needs, an intake meeting is scheduled.</w:t>
      </w:r>
    </w:p>
    <w:p>
      <w:pPr>
        <w:pStyle w:val="Heading2"/>
      </w:pPr>
      <w:r>
        <w:t xml:space="preserve">5.2 Intake Assessment</w:t>
      </w:r>
    </w:p>
    <w:p>
      <w:pPr>
        <w:pStyle w:val="ListParagraph"/>
        <w:numPr>
          <w:ilvl w:val="0"/>
          <w:numId w:val="3"/>
        </w:numPr>
        <w:spacing w:after="80"/>
      </w:pPr>
      <w:r>
        <w:rPr>
          <w:sz w:val="22"/>
          <w:szCs w:val="22"/>
        </w:rPr>
        <w:t xml:space="preserve">An intake meeting is conducted with the participant (and their nominee, family, or advocate as appropriate).</w:t>
      </w:r>
    </w:p>
    <w:p>
      <w:pPr>
        <w:pStyle w:val="ListParagraph"/>
        <w:numPr>
          <w:ilvl w:val="0"/>
          <w:numId w:val="3"/>
        </w:numPr>
        <w:spacing w:after="80"/>
      </w:pPr>
      <w:r>
        <w:rPr>
          <w:sz w:val="22"/>
          <w:szCs w:val="22"/>
        </w:rPr>
        <w:t xml:space="preserve">The participant's NDIS plan, goals, support needs, preferences, and risk factors are discussed.</w:t>
      </w:r>
    </w:p>
    <w:p>
      <w:pPr>
        <w:pStyle w:val="ListParagraph"/>
        <w:numPr>
          <w:ilvl w:val="0"/>
          <w:numId w:val="3"/>
        </w:numPr>
        <w:spacing w:after="80"/>
      </w:pPr>
      <w:r>
        <w:rPr>
          <w:sz w:val="22"/>
          <w:szCs w:val="22"/>
        </w:rPr>
        <w:t xml:space="preserve">The organisation's capacity to meet the participant's needs is assessed.</w:t>
      </w:r>
    </w:p>
    <w:p>
      <w:pPr>
        <w:pStyle w:val="ListParagraph"/>
        <w:numPr>
          <w:ilvl w:val="0"/>
          <w:numId w:val="3"/>
        </w:numPr>
        <w:spacing w:after="80"/>
      </w:pPr>
      <w:r>
        <w:rPr>
          <w:sz w:val="22"/>
          <w:szCs w:val="22"/>
        </w:rPr>
        <w:t xml:space="preserve">If the organisation can meet the needs, a Service Agreement is developed (see POL-SD-002).</w:t>
      </w:r>
    </w:p>
    <w:p>
      <w:pPr>
        <w:pStyle w:val="ListParagraph"/>
        <w:numPr>
          <w:ilvl w:val="0"/>
          <w:numId w:val="3"/>
        </w:numPr>
        <w:spacing w:after="80"/>
      </w:pPr>
      <w:r>
        <w:rPr>
          <w:sz w:val="22"/>
          <w:szCs w:val="22"/>
        </w:rPr>
        <w:t xml:space="preserve">If the organisation cannot meet the needs, the referral procedure (4.3 above) is followed.</w:t>
      </w:r>
    </w:p>
    <w:p>
      <w:pPr>
        <w:pStyle w:val="Heading1"/>
      </w:pPr>
      <w:r>
        <w:t xml:space="preserve">6. Responsibilities</w:t>
      </w:r>
    </w:p>
    <w:p>
      <w:pPr>
        <w:spacing w:after="120"/>
      </w:pPr>
      <w:r>
        <w:rPr>
          <w:b/>
          <w:bCs/>
          <w:sz w:val="22"/>
          <w:szCs w:val="22"/>
        </w:rPr>
        <w:t xml:space="preserve">Director: </w:t>
      </w:r>
      <w:r>
        <w:rPr>
          <w:sz w:val="22"/>
          <w:szCs w:val="22"/>
        </w:rPr>
        <w:t xml:space="preserve">Ensure equitable access processes are maintained, monitor the Enquiry Register, and allocate resources to meet participant demand.</w:t>
      </w:r>
    </w:p>
    <w:p>
      <w:pPr>
        <w:spacing w:after="120"/>
      </w:pPr>
      <w:r>
        <w:rPr>
          <w:b/>
          <w:bCs/>
          <w:sz w:val="22"/>
          <w:szCs w:val="22"/>
        </w:rPr>
        <w:t xml:space="preserve">Workers: </w:t>
      </w:r>
      <w:r>
        <w:rPr>
          <w:sz w:val="22"/>
          <w:szCs w:val="22"/>
        </w:rPr>
        <w:t xml:space="preserve">Respond to enquiries promptly, conduct intake assessments professionally, and ensure participants are well-informed about available supports.</w:t>
      </w:r>
    </w:p>
    <w:p>
      <w:pPr>
        <w:pStyle w:val="Heading1"/>
      </w:pPr>
      <w:r>
        <w:t xml:space="preserve">7. Related Documents</w:t>
      </w:r>
    </w:p>
    <w:p>
      <w:pPr>
        <w:pStyle w:val="ListParagraph"/>
        <w:numPr>
          <w:ilvl w:val="0"/>
          <w:numId w:val="2"/>
        </w:numPr>
        <w:spacing w:after="80"/>
      </w:pPr>
      <w:r>
        <w:rPr>
          <w:sz w:val="22"/>
          <w:szCs w:val="22"/>
        </w:rPr>
        <w:t xml:space="preserve">POL-SD-002 Service Agreement Policy</w:t>
      </w:r>
    </w:p>
    <w:p>
      <w:pPr>
        <w:pStyle w:val="ListParagraph"/>
        <w:numPr>
          <w:ilvl w:val="0"/>
          <w:numId w:val="2"/>
        </w:numPr>
        <w:spacing w:after="80"/>
      </w:pPr>
      <w:r>
        <w:rPr>
          <w:sz w:val="22"/>
          <w:szCs w:val="22"/>
        </w:rPr>
        <w:t xml:space="preserve">POL-SD-003 Individual Support Planning Policy</w:t>
      </w:r>
    </w:p>
    <w:p>
      <w:pPr>
        <w:pStyle w:val="ListParagraph"/>
        <w:numPr>
          <w:ilvl w:val="0"/>
          <w:numId w:val="2"/>
        </w:numPr>
        <w:spacing w:after="80"/>
      </w:pPr>
      <w:r>
        <w:rPr>
          <w:sz w:val="22"/>
          <w:szCs w:val="22"/>
        </w:rPr>
        <w:t xml:space="preserve">Enquiry Register</w:t>
      </w:r>
    </w:p>
    <w:p>
      <w:pPr>
        <w:pStyle w:val="ListParagraph"/>
        <w:numPr>
          <w:ilvl w:val="0"/>
          <w:numId w:val="2"/>
        </w:numPr>
        <w:spacing w:after="80"/>
      </w:pPr>
      <w:r>
        <w:rPr>
          <w:sz w:val="22"/>
          <w:szCs w:val="22"/>
        </w:rPr>
        <w:t xml:space="preserve">Intake Assessment Form</w:t>
      </w:r>
    </w:p>
    <w:p>
      <w:pPr>
        <w:pStyle w:val="ListParagraph"/>
        <w:numPr>
          <w:ilvl w:val="0"/>
          <w:numId w:val="2"/>
        </w:numPr>
        <w:spacing w:after="80"/>
      </w:pPr>
      <w:r>
        <w:rPr>
          <w:sz w:val="22"/>
          <w:szCs w:val="22"/>
        </w:rPr>
        <w:t xml:space="preserve">Referral Form</w:t>
      </w:r>
    </w:p>
    <w:p>
      <w:pPr>
        <w:pStyle w:val="Heading1"/>
      </w:pPr>
      <w:r>
        <w:t xml:space="preserve">8. Review</w:t>
      </w:r>
    </w:p>
    <w:p>
      <w:pPr>
        <w:spacing w:after="120"/>
      </w:pPr>
      <w:r>
        <w:rPr>
          <w:sz w:val="22"/>
          <w:szCs w:val="22"/>
        </w:rPr>
        <w:t xml:space="preserve">This policy will be reviewed annually or sooner following changes to NDIS pricing, legislation, or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POL-SD-001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Access to Supports and Referral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2026-03-11T06:56:44.668Z</dcterms:created>
  <dcterms:modified xsi:type="dcterms:W3CDTF">2026-03-11T06:56:44.669Z</dcterms:modified>
</cp:coreProperties>
</file>

<file path=docProps/custom.xml><?xml version="1.0" encoding="utf-8"?>
<Properties xmlns="http://schemas.openxmlformats.org/officeDocument/2006/custom-properties" xmlns:vt="http://schemas.openxmlformats.org/officeDocument/2006/docPropsVTypes"/>
</file>