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CONTINUITY OF SUPPORTS</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POL-SD-004</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ensures that NDIS participants experience continuity in their supports and that planned or unplanned transitions, exits, and disruptions are managed to minimise impact on participants. Asina Disability Services recognises that continuity and stability are essential to participant wellbeing and outcomes.</w:t>
      </w:r>
    </w:p>
    <w:p>
      <w:pPr>
        <w:pStyle w:val="Heading1"/>
      </w:pPr>
      <w:r>
        <w:t xml:space="preserve">2. Scope</w:t>
      </w:r>
    </w:p>
    <w:p>
      <w:pPr>
        <w:spacing w:after="120"/>
      </w:pPr>
      <w:r>
        <w:rPr>
          <w:sz w:val="22"/>
          <w:szCs w:val="22"/>
        </w:rPr>
        <w:t xml:space="preserve">This policy applies to all situations where the continuity of a participant's supports may be affected, including staff changes, organisational changes, service disruptions, transitions between services, and exits from the organisation.</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Provision of Supports (Continuity of Supports)</w:t>
      </w:r>
    </w:p>
    <w:p>
      <w:pPr>
        <w:pStyle w:val="ListParagraph"/>
        <w:numPr>
          <w:ilvl w:val="0"/>
          <w:numId w:val="2"/>
        </w:numPr>
        <w:spacing w:after="80"/>
      </w:pPr>
      <w:r>
        <w:rPr>
          <w:sz w:val="22"/>
          <w:szCs w:val="22"/>
        </w:rPr>
        <w:t xml:space="preserve">NDIS Act 2013 (Cth)</w:t>
      </w:r>
    </w:p>
    <w:p>
      <w:pPr>
        <w:pStyle w:val="ListParagraph"/>
        <w:numPr>
          <w:ilvl w:val="0"/>
          <w:numId w:val="2"/>
        </w:numPr>
        <w:spacing w:after="80"/>
      </w:pPr>
      <w:r>
        <w:rPr>
          <w:sz w:val="22"/>
          <w:szCs w:val="22"/>
        </w:rPr>
        <w:t xml:space="preserve">NDIS Code of Conduct</w:t>
      </w:r>
    </w:p>
    <w:p>
      <w:pPr>
        <w:pStyle w:val="Heading1"/>
      </w:pPr>
      <w:r>
        <w:t xml:space="preserve">4. Policy Statement</w:t>
      </w:r>
    </w:p>
    <w:p>
      <w:pPr>
        <w:pStyle w:val="Heading2"/>
      </w:pPr>
      <w:r>
        <w:t xml:space="preserve">4.1 Continuity Planning</w:t>
      </w:r>
    </w:p>
    <w:p>
      <w:pPr>
        <w:spacing w:after="120"/>
      </w:pPr>
      <w:r>
        <w:rPr>
          <w:sz w:val="22"/>
          <w:szCs w:val="22"/>
        </w:rPr>
        <w:t xml:space="preserve">Asina Disability Services plans for continuity of supports by:</w:t>
      </w:r>
    </w:p>
    <w:p>
      <w:pPr>
        <w:pStyle w:val="ListParagraph"/>
        <w:numPr>
          <w:ilvl w:val="0"/>
          <w:numId w:val="2"/>
        </w:numPr>
        <w:spacing w:after="80"/>
      </w:pPr>
      <w:r>
        <w:rPr>
          <w:sz w:val="22"/>
          <w:szCs w:val="22"/>
        </w:rPr>
        <w:t xml:space="preserve">Maintaining adequate workforce capacity to cover planned and unplanned absences</w:t>
      </w:r>
    </w:p>
    <w:p>
      <w:pPr>
        <w:pStyle w:val="ListParagraph"/>
        <w:numPr>
          <w:ilvl w:val="0"/>
          <w:numId w:val="2"/>
        </w:numPr>
        <w:spacing w:after="80"/>
      </w:pPr>
      <w:r>
        <w:rPr>
          <w:sz w:val="22"/>
          <w:szCs w:val="22"/>
        </w:rPr>
        <w:t xml:space="preserve">Ensuring participant information is documented sufficiently for any appropriately qualified worker to deliver supports safely</w:t>
      </w:r>
    </w:p>
    <w:p>
      <w:pPr>
        <w:pStyle w:val="ListParagraph"/>
        <w:numPr>
          <w:ilvl w:val="0"/>
          <w:numId w:val="2"/>
        </w:numPr>
        <w:spacing w:after="80"/>
      </w:pPr>
      <w:r>
        <w:rPr>
          <w:sz w:val="22"/>
          <w:szCs w:val="22"/>
        </w:rPr>
        <w:t xml:space="preserve">Developing business continuity plans for significant disruptions (e.g., natural disasters, pandemics, IT failures)</w:t>
      </w:r>
    </w:p>
    <w:p>
      <w:pPr>
        <w:pStyle w:val="ListParagraph"/>
        <w:numPr>
          <w:ilvl w:val="0"/>
          <w:numId w:val="2"/>
        </w:numPr>
        <w:spacing w:after="80"/>
      </w:pPr>
      <w:r>
        <w:rPr>
          <w:sz w:val="22"/>
          <w:szCs w:val="22"/>
        </w:rPr>
        <w:t xml:space="preserve">Communicating proactively with participants about any expected changes to their supports</w:t>
      </w:r>
    </w:p>
    <w:p>
      <w:pPr>
        <w:pStyle w:val="Heading2"/>
      </w:pPr>
      <w:r>
        <w:t xml:space="preserve">4.2 Worker Changes</w:t>
      </w:r>
    </w:p>
    <w:p>
      <w:pPr>
        <w:spacing w:after="120"/>
      </w:pPr>
      <w:r>
        <w:rPr>
          <w:sz w:val="22"/>
          <w:szCs w:val="22"/>
        </w:rPr>
        <w:t xml:space="preserve">When a change of worker is necessary:</w:t>
      </w:r>
    </w:p>
    <w:p>
      <w:pPr>
        <w:pStyle w:val="ListParagraph"/>
        <w:numPr>
          <w:ilvl w:val="0"/>
          <w:numId w:val="2"/>
        </w:numPr>
        <w:spacing w:after="80"/>
      </w:pPr>
      <w:r>
        <w:rPr>
          <w:sz w:val="22"/>
          <w:szCs w:val="22"/>
        </w:rPr>
        <w:t xml:space="preserve">The participant is informed as early as possible and their preferences are considered</w:t>
      </w:r>
    </w:p>
    <w:p>
      <w:pPr>
        <w:pStyle w:val="ListParagraph"/>
        <w:numPr>
          <w:ilvl w:val="0"/>
          <w:numId w:val="2"/>
        </w:numPr>
        <w:spacing w:after="80"/>
      </w:pPr>
      <w:r>
        <w:rPr>
          <w:sz w:val="22"/>
          <w:szCs w:val="22"/>
        </w:rPr>
        <w:t xml:space="preserve">A handover process ensures the new worker is fully briefed on the participant's support plan, needs, preferences, and risk management strategies</w:t>
      </w:r>
    </w:p>
    <w:p>
      <w:pPr>
        <w:pStyle w:val="ListParagraph"/>
        <w:numPr>
          <w:ilvl w:val="0"/>
          <w:numId w:val="2"/>
        </w:numPr>
        <w:spacing w:after="80"/>
      </w:pPr>
      <w:r>
        <w:rPr>
          <w:sz w:val="22"/>
          <w:szCs w:val="22"/>
        </w:rPr>
        <w:t xml:space="preserve">Where possible, an introduction is facilitated between the participant and new worker</w:t>
      </w:r>
    </w:p>
    <w:p>
      <w:pPr>
        <w:pStyle w:val="ListParagraph"/>
        <w:numPr>
          <w:ilvl w:val="0"/>
          <w:numId w:val="2"/>
        </w:numPr>
        <w:spacing w:after="80"/>
      </w:pPr>
      <w:r>
        <w:rPr>
          <w:sz w:val="22"/>
          <w:szCs w:val="22"/>
        </w:rPr>
        <w:t xml:space="preserve">The participant's consent is obtained for sharing their information with the new worker</w:t>
      </w:r>
    </w:p>
    <w:p>
      <w:pPr>
        <w:pStyle w:val="Heading2"/>
      </w:pPr>
      <w:r>
        <w:t xml:space="preserve">4.3 Transition and Exit</w:t>
      </w:r>
    </w:p>
    <w:p>
      <w:pPr>
        <w:spacing w:after="120"/>
      </w:pPr>
      <w:r>
        <w:rPr>
          <w:sz w:val="22"/>
          <w:szCs w:val="22"/>
        </w:rPr>
        <w:t xml:space="preserve">When a participant transitions to another provider or exits the service:</w:t>
      </w:r>
    </w:p>
    <w:p>
      <w:pPr>
        <w:pStyle w:val="ListParagraph"/>
        <w:numPr>
          <w:ilvl w:val="0"/>
          <w:numId w:val="2"/>
        </w:numPr>
        <w:spacing w:after="80"/>
      </w:pPr>
      <w:r>
        <w:rPr>
          <w:sz w:val="22"/>
          <w:szCs w:val="22"/>
        </w:rPr>
        <w:t xml:space="preserve">The participant is supported throughout the transition process</w:t>
      </w:r>
    </w:p>
    <w:p>
      <w:pPr>
        <w:pStyle w:val="ListParagraph"/>
        <w:numPr>
          <w:ilvl w:val="0"/>
          <w:numId w:val="2"/>
        </w:numPr>
        <w:spacing w:after="80"/>
      </w:pPr>
      <w:r>
        <w:rPr>
          <w:sz w:val="22"/>
          <w:szCs w:val="22"/>
        </w:rPr>
        <w:t xml:space="preserve">A transition plan is developed in consultation with the participant</w:t>
      </w:r>
    </w:p>
    <w:p>
      <w:pPr>
        <w:pStyle w:val="ListParagraph"/>
        <w:numPr>
          <w:ilvl w:val="0"/>
          <w:numId w:val="2"/>
        </w:numPr>
        <w:spacing w:after="80"/>
      </w:pPr>
      <w:r>
        <w:rPr>
          <w:sz w:val="22"/>
          <w:szCs w:val="22"/>
        </w:rPr>
        <w:t xml:space="preserve">With the participant's consent, relevant information is shared with the new provider</w:t>
      </w:r>
    </w:p>
    <w:p>
      <w:pPr>
        <w:pStyle w:val="ListParagraph"/>
        <w:numPr>
          <w:ilvl w:val="0"/>
          <w:numId w:val="2"/>
        </w:numPr>
        <w:spacing w:after="80"/>
      </w:pPr>
      <w:r>
        <w:rPr>
          <w:sz w:val="22"/>
          <w:szCs w:val="22"/>
        </w:rPr>
        <w:t xml:space="preserve">A notice period applies as specified in the Service Agreement (minimum 14 days, or as agreed)</w:t>
      </w:r>
    </w:p>
    <w:p>
      <w:pPr>
        <w:pStyle w:val="ListParagraph"/>
        <w:numPr>
          <w:ilvl w:val="0"/>
          <w:numId w:val="2"/>
        </w:numPr>
        <w:spacing w:after="80"/>
      </w:pPr>
      <w:r>
        <w:rPr>
          <w:sz w:val="22"/>
          <w:szCs w:val="22"/>
        </w:rPr>
        <w:t xml:space="preserve">The participant is not exited from services without reasonable notice except in circumstances of immediate safety risk</w:t>
      </w:r>
    </w:p>
    <w:p>
      <w:pPr>
        <w:pStyle w:val="ListParagraph"/>
        <w:numPr>
          <w:ilvl w:val="0"/>
          <w:numId w:val="2"/>
        </w:numPr>
        <w:spacing w:after="80"/>
      </w:pPr>
      <w:r>
        <w:rPr>
          <w:sz w:val="22"/>
          <w:szCs w:val="22"/>
        </w:rPr>
        <w:t xml:space="preserve">Exit interviews or feedback opportunities are offered</w:t>
      </w:r>
    </w:p>
    <w:p>
      <w:pPr>
        <w:pStyle w:val="Heading1"/>
      </w:pPr>
      <w:r>
        <w:t xml:space="preserve">5. Procedures</w:t>
      </w:r>
    </w:p>
    <w:p>
      <w:pPr>
        <w:pStyle w:val="Heading2"/>
      </w:pPr>
      <w:r>
        <w:t xml:space="preserve">5.1 Planned Disruptions</w:t>
      </w:r>
    </w:p>
    <w:p>
      <w:pPr>
        <w:pStyle w:val="ListParagraph"/>
        <w:numPr>
          <w:ilvl w:val="0"/>
          <w:numId w:val="3"/>
        </w:numPr>
        <w:spacing w:after="80"/>
      </w:pPr>
      <w:r>
        <w:rPr>
          <w:sz w:val="22"/>
          <w:szCs w:val="22"/>
        </w:rPr>
        <w:t xml:space="preserve">Participants are notified of planned disruptions (e.g., worker leave, public holidays) with at least 7 days notice.</w:t>
      </w:r>
    </w:p>
    <w:p>
      <w:pPr>
        <w:pStyle w:val="ListParagraph"/>
        <w:numPr>
          <w:ilvl w:val="0"/>
          <w:numId w:val="3"/>
        </w:numPr>
        <w:spacing w:after="80"/>
      </w:pPr>
      <w:r>
        <w:rPr>
          <w:sz w:val="22"/>
          <w:szCs w:val="22"/>
        </w:rPr>
        <w:t xml:space="preserve">Alternative support arrangements are offered and confirmed with the participant.</w:t>
      </w:r>
    </w:p>
    <w:p>
      <w:pPr>
        <w:pStyle w:val="ListParagraph"/>
        <w:numPr>
          <w:ilvl w:val="0"/>
          <w:numId w:val="3"/>
        </w:numPr>
        <w:spacing w:after="80"/>
      </w:pPr>
      <w:r>
        <w:rPr>
          <w:sz w:val="22"/>
          <w:szCs w:val="22"/>
        </w:rPr>
        <w:t xml:space="preserve">Changes are documented in the participant's records.</w:t>
      </w:r>
    </w:p>
    <w:p>
      <w:pPr>
        <w:pStyle w:val="Heading2"/>
      </w:pPr>
      <w:r>
        <w:t xml:space="preserve">5.2 Unplanned Disruptions</w:t>
      </w:r>
    </w:p>
    <w:p>
      <w:pPr>
        <w:pStyle w:val="ListParagraph"/>
        <w:numPr>
          <w:ilvl w:val="0"/>
          <w:numId w:val="3"/>
        </w:numPr>
        <w:spacing w:after="80"/>
      </w:pPr>
      <w:r>
        <w:rPr>
          <w:sz w:val="22"/>
          <w:szCs w:val="22"/>
        </w:rPr>
        <w:t xml:space="preserve">The participant is notified as soon as practicable.</w:t>
      </w:r>
    </w:p>
    <w:p>
      <w:pPr>
        <w:pStyle w:val="ListParagraph"/>
        <w:numPr>
          <w:ilvl w:val="0"/>
          <w:numId w:val="3"/>
        </w:numPr>
        <w:spacing w:after="80"/>
      </w:pPr>
      <w:r>
        <w:rPr>
          <w:sz w:val="22"/>
          <w:szCs w:val="22"/>
        </w:rPr>
        <w:t xml:space="preserve">Immediate alternative arrangements are made, prioritising participant safety and critical supports.</w:t>
      </w:r>
    </w:p>
    <w:p>
      <w:pPr>
        <w:pStyle w:val="ListParagraph"/>
        <w:numPr>
          <w:ilvl w:val="0"/>
          <w:numId w:val="3"/>
        </w:numPr>
        <w:spacing w:after="80"/>
      </w:pPr>
      <w:r>
        <w:rPr>
          <w:sz w:val="22"/>
          <w:szCs w:val="22"/>
        </w:rPr>
        <w:t xml:space="preserve">An incident report is completed if the disruption affects participant safety or wellbeing.</w:t>
      </w:r>
    </w:p>
    <w:p>
      <w:pPr>
        <w:pStyle w:val="ListParagraph"/>
        <w:numPr>
          <w:ilvl w:val="0"/>
          <w:numId w:val="3"/>
        </w:numPr>
        <w:spacing w:after="80"/>
      </w:pPr>
      <w:r>
        <w:rPr>
          <w:sz w:val="22"/>
          <w:szCs w:val="22"/>
        </w:rPr>
        <w:t xml:space="preserve">A review is conducted to identify how to prevent recurrence.</w:t>
      </w:r>
    </w:p>
    <w:p>
      <w:pPr>
        <w:pStyle w:val="Heading2"/>
      </w:pPr>
      <w:r>
        <w:t xml:space="preserve">5.3 Exit Process</w:t>
      </w:r>
    </w:p>
    <w:p>
      <w:pPr>
        <w:pStyle w:val="ListParagraph"/>
        <w:numPr>
          <w:ilvl w:val="0"/>
          <w:numId w:val="3"/>
        </w:numPr>
        <w:spacing w:after="80"/>
      </w:pPr>
      <w:r>
        <w:rPr>
          <w:sz w:val="22"/>
          <w:szCs w:val="22"/>
        </w:rPr>
        <w:t xml:space="preserve">The participant or the organisation provides notice in accordance with the Service Agreement.</w:t>
      </w:r>
    </w:p>
    <w:p>
      <w:pPr>
        <w:pStyle w:val="ListParagraph"/>
        <w:numPr>
          <w:ilvl w:val="0"/>
          <w:numId w:val="3"/>
        </w:numPr>
        <w:spacing w:after="80"/>
      </w:pPr>
      <w:r>
        <w:rPr>
          <w:sz w:val="22"/>
          <w:szCs w:val="22"/>
        </w:rPr>
        <w:t xml:space="preserve">A transition meeting is held with the participant to discuss their needs and preferences.</w:t>
      </w:r>
    </w:p>
    <w:p>
      <w:pPr>
        <w:pStyle w:val="ListParagraph"/>
        <w:numPr>
          <w:ilvl w:val="0"/>
          <w:numId w:val="3"/>
        </w:numPr>
        <w:spacing w:after="80"/>
      </w:pPr>
      <w:r>
        <w:rPr>
          <w:sz w:val="22"/>
          <w:szCs w:val="22"/>
        </w:rPr>
        <w:t xml:space="preserve">A transition plan is developed including timelines, information sharing, and support during the transition.</w:t>
      </w:r>
    </w:p>
    <w:p>
      <w:pPr>
        <w:pStyle w:val="ListParagraph"/>
        <w:numPr>
          <w:ilvl w:val="0"/>
          <w:numId w:val="3"/>
        </w:numPr>
        <w:spacing w:after="80"/>
      </w:pPr>
      <w:r>
        <w:rPr>
          <w:sz w:val="22"/>
          <w:szCs w:val="22"/>
        </w:rPr>
        <w:t xml:space="preserve">A final progress summary is prepared and provided to the participant and, with consent, to the new provider.</w:t>
      </w:r>
    </w:p>
    <w:p>
      <w:pPr>
        <w:pStyle w:val="ListParagraph"/>
        <w:numPr>
          <w:ilvl w:val="0"/>
          <w:numId w:val="3"/>
        </w:numPr>
        <w:spacing w:after="80"/>
      </w:pPr>
      <w:r>
        <w:rPr>
          <w:sz w:val="22"/>
          <w:szCs w:val="22"/>
        </w:rPr>
        <w:t xml:space="preserve">Participant records are retained in accordance with the Information Management Policy.</w:t>
      </w:r>
    </w:p>
    <w:p>
      <w:pPr>
        <w:pStyle w:val="Heading1"/>
      </w:pPr>
      <w:r>
        <w:t xml:space="preserve">6. Responsibilities</w:t>
      </w:r>
    </w:p>
    <w:p>
      <w:pPr>
        <w:spacing w:after="120"/>
      </w:pPr>
      <w:r>
        <w:rPr>
          <w:b/>
          <w:bCs/>
          <w:sz w:val="22"/>
          <w:szCs w:val="22"/>
        </w:rPr>
        <w:t xml:space="preserve">Director: </w:t>
      </w:r>
      <w:r>
        <w:rPr>
          <w:sz w:val="22"/>
          <w:szCs w:val="22"/>
        </w:rPr>
        <w:t xml:space="preserve">Maintain workforce capacity, ensure business continuity plans are current, oversee transition and exit processes, and monitor participant satisfaction during changes.</w:t>
      </w:r>
    </w:p>
    <w:p>
      <w:pPr>
        <w:spacing w:after="120"/>
      </w:pPr>
      <w:r>
        <w:rPr>
          <w:b/>
          <w:bCs/>
          <w:sz w:val="22"/>
          <w:szCs w:val="22"/>
        </w:rPr>
        <w:t xml:space="preserve">Workers: </w:t>
      </w:r>
      <w:r>
        <w:rPr>
          <w:sz w:val="22"/>
          <w:szCs w:val="22"/>
        </w:rPr>
        <w:t xml:space="preserve">Participate in handover processes, maintain thorough documentation to support continuity, and communicate changes to the Director promptly.</w:t>
      </w:r>
    </w:p>
    <w:p>
      <w:pPr>
        <w:pStyle w:val="Heading1"/>
      </w:pPr>
      <w:r>
        <w:t xml:space="preserve">7. Related Documents</w:t>
      </w:r>
    </w:p>
    <w:p>
      <w:pPr>
        <w:pStyle w:val="ListParagraph"/>
        <w:numPr>
          <w:ilvl w:val="0"/>
          <w:numId w:val="2"/>
        </w:numPr>
        <w:spacing w:after="80"/>
      </w:pPr>
      <w:r>
        <w:rPr>
          <w:sz w:val="22"/>
          <w:szCs w:val="22"/>
        </w:rPr>
        <w:t xml:space="preserve">POL-SD-002 Service Agreement Policy</w:t>
      </w:r>
    </w:p>
    <w:p>
      <w:pPr>
        <w:pStyle w:val="ListParagraph"/>
        <w:numPr>
          <w:ilvl w:val="0"/>
          <w:numId w:val="2"/>
        </w:numPr>
        <w:spacing w:after="80"/>
      </w:pPr>
      <w:r>
        <w:rPr>
          <w:sz w:val="22"/>
          <w:szCs w:val="22"/>
        </w:rPr>
        <w:t xml:space="preserve">POL-SD-003 Individual Support Planning Policy</w:t>
      </w:r>
    </w:p>
    <w:p>
      <w:pPr>
        <w:pStyle w:val="ListParagraph"/>
        <w:numPr>
          <w:ilvl w:val="0"/>
          <w:numId w:val="2"/>
        </w:numPr>
        <w:spacing w:after="80"/>
      </w:pPr>
      <w:r>
        <w:rPr>
          <w:sz w:val="22"/>
          <w:szCs w:val="22"/>
        </w:rPr>
        <w:t xml:space="preserve">POL-GOV-002 Risk Management Policy</w:t>
      </w:r>
    </w:p>
    <w:p>
      <w:pPr>
        <w:pStyle w:val="ListParagraph"/>
        <w:numPr>
          <w:ilvl w:val="0"/>
          <w:numId w:val="2"/>
        </w:numPr>
        <w:spacing w:after="80"/>
      </w:pPr>
      <w:r>
        <w:rPr>
          <w:sz w:val="22"/>
          <w:szCs w:val="22"/>
        </w:rPr>
        <w:t xml:space="preserve">Business Continuity Plan</w:t>
      </w:r>
    </w:p>
    <w:p>
      <w:pPr>
        <w:pStyle w:val="ListParagraph"/>
        <w:numPr>
          <w:ilvl w:val="0"/>
          <w:numId w:val="2"/>
        </w:numPr>
        <w:spacing w:after="80"/>
      </w:pPr>
      <w:r>
        <w:rPr>
          <w:sz w:val="22"/>
          <w:szCs w:val="22"/>
        </w:rPr>
        <w:t xml:space="preserve">Transition Plan Template</w:t>
      </w:r>
    </w:p>
    <w:p>
      <w:pPr>
        <w:pStyle w:val="ListParagraph"/>
        <w:numPr>
          <w:ilvl w:val="0"/>
          <w:numId w:val="2"/>
        </w:numPr>
        <w:spacing w:after="80"/>
      </w:pPr>
      <w:r>
        <w:rPr>
          <w:sz w:val="22"/>
          <w:szCs w:val="22"/>
        </w:rPr>
        <w:t xml:space="preserve">Exit Checklist</w:t>
      </w:r>
    </w:p>
    <w:p>
      <w:pPr>
        <w:pStyle w:val="Heading1"/>
      </w:pPr>
      <w:r>
        <w:t xml:space="preserve">8. Review</w:t>
      </w:r>
    </w:p>
    <w:p>
      <w:pPr>
        <w:spacing w:after="120"/>
      </w:pPr>
      <w:r>
        <w:rPr>
          <w:sz w:val="22"/>
          <w:szCs w:val="22"/>
        </w:rPr>
        <w:t xml:space="preserve">This policy will be reviewed annually or sooner following significant service disruptions, audit findings, or participant feedback.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POL-SD-004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Continuity of Supports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2026-03-11T06:56:44.834Z</dcterms:created>
  <dcterms:modified xsi:type="dcterms:W3CDTF">2026-03-11T06:56:44.834Z</dcterms:modified>
</cp:coreProperties>
</file>

<file path=docProps/custom.xml><?xml version="1.0" encoding="utf-8"?>
<Properties xmlns="http://schemas.openxmlformats.org/officeDocument/2006/custom-properties" xmlns:vt="http://schemas.openxmlformats.org/officeDocument/2006/docPropsVTypes"/>
</file>