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HIGH INTENSITY DAILY PERSONAL ACTIVITIES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POL-SD-008</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requirements for delivering high intensity daily personal activities to NDIS participants. These are complex health support tasks that require specific training, competency assessment, and clinical oversight to ensure participant safety. Asina Disability Services is committed to ensuring these supports are delivered safely and in accordance with clinical guidelines.</w:t>
      </w:r>
    </w:p>
    <w:p>
      <w:pPr>
        <w:pStyle w:val="Heading1"/>
      </w:pPr>
      <w:r>
        <w:t xml:space="preserve">2. Scope</w:t>
      </w:r>
    </w:p>
    <w:p>
      <w:pPr>
        <w:spacing w:after="120"/>
      </w:pPr>
      <w:r>
        <w:rPr>
          <w:sz w:val="22"/>
          <w:szCs w:val="22"/>
        </w:rPr>
        <w:t xml:space="preserve">This policy applies to all workers who deliver or may be required to deliver high intensity daily personal activities. It covers all complex health support tasks that are delegated by a health professional and performed by disability support workers.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Supplementary Module: High Intensity Daily Personal Activities</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Health Practitioner Regulation National Law (NSW)</w:t>
      </w:r>
    </w:p>
    <w:p>
      <w:pPr>
        <w:pStyle w:val="ListParagraph"/>
        <w:numPr>
          <w:ilvl w:val="0"/>
          <w:numId w:val="2"/>
        </w:numPr>
        <w:spacing w:after="80"/>
      </w:pPr>
      <w:r>
        <w:rPr>
          <w:sz w:val="22"/>
          <w:szCs w:val="22"/>
        </w:rPr>
        <w:t xml:space="preserve">Poisons and Therapeutic Goods Act 1966 (NSW)</w:t>
      </w:r>
    </w:p>
    <w:p>
      <w:pPr>
        <w:pStyle w:val="ListParagraph"/>
        <w:numPr>
          <w:ilvl w:val="0"/>
          <w:numId w:val="2"/>
        </w:numPr>
        <w:spacing w:after="80"/>
      </w:pPr>
      <w:r>
        <w:rPr>
          <w:sz w:val="22"/>
          <w:szCs w:val="22"/>
        </w:rPr>
        <w:t xml:space="preserve">Work Health and Safety Act 2011 (NSW)</w:t>
      </w:r>
    </w:p>
    <w:p>
      <w:pPr>
        <w:pStyle w:val="Heading1"/>
      </w:pPr>
      <w:r>
        <w:t xml:space="preserve">4. Definitions</w:t>
      </w:r>
    </w:p>
    <w:p>
      <w:pPr>
        <w:spacing w:after="120"/>
      </w:pPr>
      <w:r>
        <w:rPr>
          <w:b/>
          <w:bCs/>
          <w:sz w:val="22"/>
          <w:szCs w:val="22"/>
        </w:rPr>
        <w:t xml:space="preserve">High Intensity Daily Personal Activities: </w:t>
      </w:r>
      <w:r>
        <w:rPr>
          <w:sz w:val="22"/>
          <w:szCs w:val="22"/>
        </w:rPr>
        <w:t xml:space="preserve">Complex personal care and health support activities that go beyond routine personal care and require specific training and clinical delegation. These include, but are not limited to, the activities listed in Section 5.1.</w:t>
      </w:r>
    </w:p>
    <w:p>
      <w:pPr>
        <w:spacing w:after="120"/>
      </w:pPr>
      <w:r>
        <w:rPr>
          <w:b/>
          <w:bCs/>
          <w:sz w:val="22"/>
          <w:szCs w:val="22"/>
        </w:rPr>
        <w:t xml:space="preserve">Clinical Delegation: </w:t>
      </w:r>
      <w:r>
        <w:rPr>
          <w:sz w:val="22"/>
          <w:szCs w:val="22"/>
        </w:rPr>
        <w:t xml:space="preserve">The process by which a registered health professional (such as a registered nurse, physiotherapist, or speech pathologist) authorises a worker to perform a specific clinical task, provides training, and maintains oversight.</w:t>
      </w:r>
    </w:p>
    <w:p>
      <w:pPr>
        <w:spacing w:after="120"/>
      </w:pPr>
      <w:r>
        <w:rPr>
          <w:b/>
          <w:bCs/>
          <w:sz w:val="22"/>
          <w:szCs w:val="22"/>
        </w:rPr>
        <w:t xml:space="preserve">Competency Assessment: </w:t>
      </w:r>
      <w:r>
        <w:rPr>
          <w:sz w:val="22"/>
          <w:szCs w:val="22"/>
        </w:rPr>
        <w:t xml:space="preserve">A documented assessment by a qualified health professional confirming that a worker can safely perform a specific clinical task.</w:t>
      </w:r>
    </w:p>
    <w:p>
      <w:pPr>
        <w:pStyle w:val="Heading1"/>
      </w:pPr>
      <w:r>
        <w:t xml:space="preserve">5. Policy Statement</w:t>
      </w:r>
    </w:p>
    <w:p>
      <w:pPr>
        <w:pStyle w:val="Heading2"/>
      </w:pPr>
      <w:r>
        <w:t xml:space="preserve">5.1 High Intensity Activities</w:t>
      </w:r>
    </w:p>
    <w:p>
      <w:pPr>
        <w:spacing w:after="120"/>
      </w:pPr>
      <w:r>
        <w:rPr>
          <w:sz w:val="22"/>
          <w:szCs w:val="22"/>
        </w:rPr>
        <w:t xml:space="preserve">The following are classified as high intensity daily personal activities:</w:t>
      </w:r>
    </w:p>
    <w:p>
      <w:pPr>
        <w:pStyle w:val="ListParagraph"/>
        <w:numPr>
          <w:ilvl w:val="0"/>
          <w:numId w:val="2"/>
        </w:numPr>
        <w:spacing w:after="80"/>
      </w:pPr>
      <w:r>
        <w:rPr>
          <w:sz w:val="22"/>
          <w:szCs w:val="22"/>
        </w:rPr>
        <w:t xml:space="preserve">Complex bowel care (including manual evacuation and bowel washouts)</w:t>
      </w:r>
    </w:p>
    <w:p>
      <w:pPr>
        <w:pStyle w:val="ListParagraph"/>
        <w:numPr>
          <w:ilvl w:val="0"/>
          <w:numId w:val="2"/>
        </w:numPr>
        <w:spacing w:after="80"/>
      </w:pPr>
      <w:r>
        <w:rPr>
          <w:sz w:val="22"/>
          <w:szCs w:val="22"/>
        </w:rPr>
        <w:t xml:space="preserve">Complex wound care</w:t>
      </w:r>
    </w:p>
    <w:p>
      <w:pPr>
        <w:pStyle w:val="ListParagraph"/>
        <w:numPr>
          <w:ilvl w:val="0"/>
          <w:numId w:val="2"/>
        </w:numPr>
        <w:spacing w:after="80"/>
      </w:pPr>
      <w:r>
        <w:rPr>
          <w:sz w:val="22"/>
          <w:szCs w:val="22"/>
        </w:rPr>
        <w:t xml:space="preserve">Tracheostomy management and suctioning</w:t>
      </w:r>
    </w:p>
    <w:p>
      <w:pPr>
        <w:pStyle w:val="ListParagraph"/>
        <w:numPr>
          <w:ilvl w:val="0"/>
          <w:numId w:val="2"/>
        </w:numPr>
        <w:spacing w:after="80"/>
      </w:pPr>
      <w:r>
        <w:rPr>
          <w:sz w:val="22"/>
          <w:szCs w:val="22"/>
        </w:rPr>
        <w:t xml:space="preserve">Ventilator management</w:t>
      </w:r>
    </w:p>
    <w:p>
      <w:pPr>
        <w:pStyle w:val="ListParagraph"/>
        <w:numPr>
          <w:ilvl w:val="0"/>
          <w:numId w:val="2"/>
        </w:numPr>
        <w:spacing w:after="80"/>
      </w:pPr>
      <w:r>
        <w:rPr>
          <w:sz w:val="22"/>
          <w:szCs w:val="22"/>
        </w:rPr>
        <w:t xml:space="preserve">Enteral feeding (PEG, nasogastric tube feeding)</w:t>
      </w:r>
    </w:p>
    <w:p>
      <w:pPr>
        <w:pStyle w:val="ListParagraph"/>
        <w:numPr>
          <w:ilvl w:val="0"/>
          <w:numId w:val="2"/>
        </w:numPr>
        <w:spacing w:after="80"/>
      </w:pPr>
      <w:r>
        <w:rPr>
          <w:sz w:val="22"/>
          <w:szCs w:val="22"/>
        </w:rPr>
        <w:t xml:space="preserve">Subcutaneous injections (e.g., insulin)</w:t>
      </w:r>
    </w:p>
    <w:p>
      <w:pPr>
        <w:pStyle w:val="ListParagraph"/>
        <w:numPr>
          <w:ilvl w:val="0"/>
          <w:numId w:val="2"/>
        </w:numPr>
        <w:spacing w:after="80"/>
      </w:pPr>
      <w:r>
        <w:rPr>
          <w:sz w:val="22"/>
          <w:szCs w:val="22"/>
        </w:rPr>
        <w:t xml:space="preserve">Urinary catheter management (including catheter insertion in some jurisdictions)</w:t>
      </w:r>
    </w:p>
    <w:p>
      <w:pPr>
        <w:pStyle w:val="ListParagraph"/>
        <w:numPr>
          <w:ilvl w:val="0"/>
          <w:numId w:val="2"/>
        </w:numPr>
        <w:spacing w:after="80"/>
      </w:pPr>
      <w:r>
        <w:rPr>
          <w:sz w:val="22"/>
          <w:szCs w:val="22"/>
        </w:rPr>
        <w:t xml:space="preserve">Complex epilepsy management (including emergency seizure medication)</w:t>
      </w:r>
    </w:p>
    <w:p>
      <w:pPr>
        <w:pStyle w:val="ListParagraph"/>
        <w:numPr>
          <w:ilvl w:val="0"/>
          <w:numId w:val="2"/>
        </w:numPr>
        <w:spacing w:after="80"/>
      </w:pPr>
      <w:r>
        <w:rPr>
          <w:sz w:val="22"/>
          <w:szCs w:val="22"/>
        </w:rPr>
        <w:t xml:space="preserve">Oxygen therapy management</w:t>
      </w:r>
    </w:p>
    <w:p>
      <w:pPr>
        <w:pStyle w:val="ListParagraph"/>
        <w:numPr>
          <w:ilvl w:val="0"/>
          <w:numId w:val="2"/>
        </w:numPr>
        <w:spacing w:after="80"/>
      </w:pPr>
      <w:r>
        <w:rPr>
          <w:sz w:val="22"/>
          <w:szCs w:val="22"/>
        </w:rPr>
        <w:t xml:space="preserve">Dysphagia management (complex mealtime support for participants with severe swallowing difficulties)</w:t>
      </w:r>
    </w:p>
    <w:p>
      <w:pPr>
        <w:pStyle w:val="ListParagraph"/>
        <w:numPr>
          <w:ilvl w:val="0"/>
          <w:numId w:val="2"/>
        </w:numPr>
        <w:spacing w:after="80"/>
      </w:pPr>
      <w:r>
        <w:rPr>
          <w:sz w:val="22"/>
          <w:szCs w:val="22"/>
        </w:rPr>
        <w:t xml:space="preserve">Complex diabetes management</w:t>
      </w:r>
    </w:p>
    <w:p>
      <w:pPr>
        <w:pStyle w:val="ListParagraph"/>
        <w:numPr>
          <w:ilvl w:val="0"/>
          <w:numId w:val="2"/>
        </w:numPr>
        <w:spacing w:after="80"/>
      </w:pPr>
      <w:r>
        <w:rPr>
          <w:sz w:val="22"/>
          <w:szCs w:val="22"/>
        </w:rPr>
        <w:t xml:space="preserve">Stoma care</w:t>
      </w:r>
    </w:p>
    <w:p>
      <w:pPr>
        <w:pStyle w:val="ListParagraph"/>
        <w:numPr>
          <w:ilvl w:val="0"/>
          <w:numId w:val="2"/>
        </w:numPr>
        <w:spacing w:after="80"/>
      </w:pPr>
      <w:r>
        <w:rPr>
          <w:sz w:val="22"/>
          <w:szCs w:val="22"/>
        </w:rPr>
        <w:t xml:space="preserve">Any other clinical task delegated by a health professional</w:t>
      </w:r>
    </w:p>
    <w:p>
      <w:pPr>
        <w:pStyle w:val="Heading2"/>
      </w:pPr>
      <w:r>
        <w:t xml:space="preserve">5.2 Clinical Governance</w:t>
      </w:r>
    </w:p>
    <w:p>
      <w:pPr>
        <w:spacing w:after="120"/>
      </w:pPr>
      <w:r>
        <w:rPr>
          <w:sz w:val="22"/>
          <w:szCs w:val="22"/>
        </w:rPr>
        <w:t xml:space="preserve">All high intensity daily personal activities are governed by the following requirements:</w:t>
      </w:r>
    </w:p>
    <w:p>
      <w:pPr>
        <w:pStyle w:val="ListParagraph"/>
        <w:numPr>
          <w:ilvl w:val="0"/>
          <w:numId w:val="2"/>
        </w:numPr>
        <w:spacing w:after="80"/>
      </w:pPr>
      <w:r>
        <w:rPr>
          <w:sz w:val="22"/>
          <w:szCs w:val="22"/>
        </w:rPr>
        <w:t xml:space="preserve">Each task is only performed under clinical delegation from an appropriately qualified health professional</w:t>
      </w:r>
    </w:p>
    <w:p>
      <w:pPr>
        <w:pStyle w:val="ListParagraph"/>
        <w:numPr>
          <w:ilvl w:val="0"/>
          <w:numId w:val="2"/>
        </w:numPr>
        <w:spacing w:after="80"/>
      </w:pPr>
      <w:r>
        <w:rPr>
          <w:sz w:val="22"/>
          <w:szCs w:val="22"/>
        </w:rPr>
        <w:t xml:space="preserve">A written Health Management Plan is obtained from the delegating health professional for each task</w:t>
      </w:r>
    </w:p>
    <w:p>
      <w:pPr>
        <w:pStyle w:val="ListParagraph"/>
        <w:numPr>
          <w:ilvl w:val="0"/>
          <w:numId w:val="2"/>
        </w:numPr>
        <w:spacing w:after="80"/>
      </w:pPr>
      <w:r>
        <w:rPr>
          <w:sz w:val="22"/>
          <w:szCs w:val="22"/>
        </w:rPr>
        <w:t xml:space="preserve">The Health Management Plan specifies: the task, the procedure, frequency, potential complications, emergency response, and when to escalate to a health professional</w:t>
      </w:r>
    </w:p>
    <w:p>
      <w:pPr>
        <w:pStyle w:val="ListParagraph"/>
        <w:numPr>
          <w:ilvl w:val="0"/>
          <w:numId w:val="2"/>
        </w:numPr>
        <w:spacing w:after="80"/>
      </w:pPr>
      <w:r>
        <w:rPr>
          <w:sz w:val="22"/>
          <w:szCs w:val="22"/>
        </w:rPr>
        <w:t xml:space="preserve">The delegating health professional provides task-specific training to the worker</w:t>
      </w:r>
    </w:p>
    <w:p>
      <w:pPr>
        <w:pStyle w:val="ListParagraph"/>
        <w:numPr>
          <w:ilvl w:val="0"/>
          <w:numId w:val="2"/>
        </w:numPr>
        <w:spacing w:after="80"/>
      </w:pPr>
      <w:r>
        <w:rPr>
          <w:sz w:val="22"/>
          <w:szCs w:val="22"/>
        </w:rPr>
        <w:t xml:space="preserve">The worker's competency is assessed by the health professional before they perform the task independently</w:t>
      </w:r>
    </w:p>
    <w:p>
      <w:pPr>
        <w:pStyle w:val="ListParagraph"/>
        <w:numPr>
          <w:ilvl w:val="0"/>
          <w:numId w:val="2"/>
        </w:numPr>
        <w:spacing w:after="80"/>
      </w:pPr>
      <w:r>
        <w:rPr>
          <w:sz w:val="22"/>
          <w:szCs w:val="22"/>
        </w:rPr>
        <w:t xml:space="preserve">Competency reassessment occurs at least annually or when the procedure changes</w:t>
      </w:r>
    </w:p>
    <w:p>
      <w:pPr>
        <w:pStyle w:val="ListParagraph"/>
        <w:numPr>
          <w:ilvl w:val="0"/>
          <w:numId w:val="2"/>
        </w:numPr>
        <w:spacing w:after="80"/>
      </w:pPr>
      <w:r>
        <w:rPr>
          <w:sz w:val="22"/>
          <w:szCs w:val="22"/>
        </w:rPr>
        <w:t xml:space="preserve">The health professional maintains clinical oversight through regular reviews</w:t>
      </w:r>
    </w:p>
    <w:p>
      <w:pPr>
        <w:pStyle w:val="Heading2"/>
      </w:pPr>
      <w:r>
        <w:t xml:space="preserve">5.3 Worker Requirements</w:t>
      </w:r>
    </w:p>
    <w:p>
      <w:pPr>
        <w:spacing w:after="120"/>
      </w:pPr>
      <w:r>
        <w:rPr>
          <w:sz w:val="22"/>
          <w:szCs w:val="22"/>
        </w:rPr>
        <w:t xml:space="preserve">Workers delivering high intensity activities must:</w:t>
      </w:r>
    </w:p>
    <w:p>
      <w:pPr>
        <w:pStyle w:val="ListParagraph"/>
        <w:numPr>
          <w:ilvl w:val="0"/>
          <w:numId w:val="2"/>
        </w:numPr>
        <w:spacing w:after="80"/>
      </w:pPr>
      <w:r>
        <w:rPr>
          <w:sz w:val="22"/>
          <w:szCs w:val="22"/>
        </w:rPr>
        <w:t xml:space="preserve">Hold a minimum Certificate III in Individual Support (Disability) or equivalent, plus task-specific training</w:t>
      </w:r>
    </w:p>
    <w:p>
      <w:pPr>
        <w:pStyle w:val="ListParagraph"/>
        <w:numPr>
          <w:ilvl w:val="0"/>
          <w:numId w:val="2"/>
        </w:numPr>
        <w:spacing w:after="80"/>
      </w:pPr>
      <w:r>
        <w:rPr>
          <w:sz w:val="22"/>
          <w:szCs w:val="22"/>
        </w:rPr>
        <w:t xml:space="preserve">Complete training provided or approved by the delegating health professional</w:t>
      </w:r>
    </w:p>
    <w:p>
      <w:pPr>
        <w:pStyle w:val="ListParagraph"/>
        <w:numPr>
          <w:ilvl w:val="0"/>
          <w:numId w:val="2"/>
        </w:numPr>
        <w:spacing w:after="80"/>
      </w:pPr>
      <w:r>
        <w:rPr>
          <w:sz w:val="22"/>
          <w:szCs w:val="22"/>
        </w:rPr>
        <w:t xml:space="preserve">Pass a competency assessment for each specific task before performing it independently</w:t>
      </w:r>
    </w:p>
    <w:p>
      <w:pPr>
        <w:pStyle w:val="ListParagraph"/>
        <w:numPr>
          <w:ilvl w:val="0"/>
          <w:numId w:val="2"/>
        </w:numPr>
        <w:spacing w:after="80"/>
      </w:pPr>
      <w:r>
        <w:rPr>
          <w:sz w:val="22"/>
          <w:szCs w:val="22"/>
        </w:rPr>
        <w:t xml:space="preserve">Only perform tasks for which they have current delegation and assessed competency</w:t>
      </w:r>
    </w:p>
    <w:p>
      <w:pPr>
        <w:pStyle w:val="ListParagraph"/>
        <w:numPr>
          <w:ilvl w:val="0"/>
          <w:numId w:val="2"/>
        </w:numPr>
        <w:spacing w:after="80"/>
      </w:pPr>
      <w:r>
        <w:rPr>
          <w:sz w:val="22"/>
          <w:szCs w:val="22"/>
        </w:rPr>
        <w:t xml:space="preserve">Follow the Health Management Plan exactly as documented</w:t>
      </w:r>
    </w:p>
    <w:p>
      <w:pPr>
        <w:pStyle w:val="ListParagraph"/>
        <w:numPr>
          <w:ilvl w:val="0"/>
          <w:numId w:val="2"/>
        </w:numPr>
        <w:spacing w:after="80"/>
      </w:pPr>
      <w:r>
        <w:rPr>
          <w:sz w:val="22"/>
          <w:szCs w:val="22"/>
        </w:rPr>
        <w:t xml:space="preserve">Recognise and respond to complications as specified in the plan</w:t>
      </w:r>
    </w:p>
    <w:p>
      <w:pPr>
        <w:pStyle w:val="ListParagraph"/>
        <w:numPr>
          <w:ilvl w:val="0"/>
          <w:numId w:val="2"/>
        </w:numPr>
        <w:spacing w:after="80"/>
      </w:pPr>
      <w:r>
        <w:rPr>
          <w:sz w:val="22"/>
          <w:szCs w:val="22"/>
        </w:rPr>
        <w:t xml:space="preserve">Escalate to the delegating health professional or emergency services when required</w:t>
      </w:r>
    </w:p>
    <w:p>
      <w:pPr>
        <w:pStyle w:val="ListParagraph"/>
        <w:numPr>
          <w:ilvl w:val="0"/>
          <w:numId w:val="2"/>
        </w:numPr>
        <w:spacing w:after="80"/>
      </w:pPr>
      <w:r>
        <w:rPr>
          <w:sz w:val="22"/>
          <w:szCs w:val="22"/>
        </w:rPr>
        <w:t xml:space="preserve">Document each instance of the task including observations and any deviations</w:t>
      </w:r>
    </w:p>
    <w:p>
      <w:pPr>
        <w:pStyle w:val="Heading2"/>
      </w:pPr>
      <w:r>
        <w:t xml:space="preserve">5.4 Health Management Plans</w:t>
      </w:r>
    </w:p>
    <w:p>
      <w:pPr>
        <w:spacing w:after="120"/>
      </w:pPr>
      <w:r>
        <w:rPr>
          <w:sz w:val="22"/>
          <w:szCs w:val="22"/>
        </w:rPr>
        <w:t xml:space="preserve">A Health Management Plan is maintained for each participant requiring high intensity activities and includes:</w:t>
      </w:r>
    </w:p>
    <w:p>
      <w:pPr>
        <w:pStyle w:val="ListParagraph"/>
        <w:numPr>
          <w:ilvl w:val="0"/>
          <w:numId w:val="2"/>
        </w:numPr>
        <w:spacing w:after="80"/>
      </w:pPr>
      <w:r>
        <w:rPr>
          <w:sz w:val="22"/>
          <w:szCs w:val="22"/>
        </w:rPr>
        <w:t xml:space="preserve">The participant's relevant health conditions and history</w:t>
      </w:r>
    </w:p>
    <w:p>
      <w:pPr>
        <w:pStyle w:val="ListParagraph"/>
        <w:numPr>
          <w:ilvl w:val="0"/>
          <w:numId w:val="2"/>
        </w:numPr>
        <w:spacing w:after="80"/>
      </w:pPr>
      <w:r>
        <w:rPr>
          <w:sz w:val="22"/>
          <w:szCs w:val="22"/>
        </w:rPr>
        <w:t xml:space="preserve">The specific procedures to be followed (step-by-step)</w:t>
      </w:r>
    </w:p>
    <w:p>
      <w:pPr>
        <w:pStyle w:val="ListParagraph"/>
        <w:numPr>
          <w:ilvl w:val="0"/>
          <w:numId w:val="2"/>
        </w:numPr>
        <w:spacing w:after="80"/>
      </w:pPr>
      <w:r>
        <w:rPr>
          <w:sz w:val="22"/>
          <w:szCs w:val="22"/>
        </w:rPr>
        <w:t xml:space="preserve">Equipment and supplies required</w:t>
      </w:r>
    </w:p>
    <w:p>
      <w:pPr>
        <w:pStyle w:val="ListParagraph"/>
        <w:numPr>
          <w:ilvl w:val="0"/>
          <w:numId w:val="2"/>
        </w:numPr>
        <w:spacing w:after="80"/>
      </w:pPr>
      <w:r>
        <w:rPr>
          <w:sz w:val="22"/>
          <w:szCs w:val="22"/>
        </w:rPr>
        <w:t xml:space="preserve">Observation and monitoring requirements</w:t>
      </w:r>
    </w:p>
    <w:p>
      <w:pPr>
        <w:pStyle w:val="ListParagraph"/>
        <w:numPr>
          <w:ilvl w:val="0"/>
          <w:numId w:val="2"/>
        </w:numPr>
        <w:spacing w:after="80"/>
      </w:pPr>
      <w:r>
        <w:rPr>
          <w:sz w:val="22"/>
          <w:szCs w:val="22"/>
        </w:rPr>
        <w:t xml:space="preserve">Signs and symptoms of complications</w:t>
      </w:r>
    </w:p>
    <w:p>
      <w:pPr>
        <w:pStyle w:val="ListParagraph"/>
        <w:numPr>
          <w:ilvl w:val="0"/>
          <w:numId w:val="2"/>
        </w:numPr>
        <w:spacing w:after="80"/>
      </w:pPr>
      <w:r>
        <w:rPr>
          <w:sz w:val="22"/>
          <w:szCs w:val="22"/>
        </w:rPr>
        <w:t xml:space="preserve">Emergency response procedures (including when to call 000)</w:t>
      </w:r>
    </w:p>
    <w:p>
      <w:pPr>
        <w:pStyle w:val="ListParagraph"/>
        <w:numPr>
          <w:ilvl w:val="0"/>
          <w:numId w:val="2"/>
        </w:numPr>
        <w:spacing w:after="80"/>
      </w:pPr>
      <w:r>
        <w:rPr>
          <w:sz w:val="22"/>
          <w:szCs w:val="22"/>
        </w:rPr>
        <w:t xml:space="preserve">Contact details for the delegating health professional</w:t>
      </w:r>
    </w:p>
    <w:p>
      <w:pPr>
        <w:pStyle w:val="ListParagraph"/>
        <w:numPr>
          <w:ilvl w:val="0"/>
          <w:numId w:val="2"/>
        </w:numPr>
        <w:spacing w:after="80"/>
      </w:pPr>
      <w:r>
        <w:rPr>
          <w:sz w:val="22"/>
          <w:szCs w:val="22"/>
        </w:rPr>
        <w:t xml:space="preserve">Review date</w:t>
      </w:r>
    </w:p>
    <w:p>
      <w:pPr>
        <w:pStyle w:val="Heading2"/>
      </w:pPr>
      <w:r>
        <w:t xml:space="preserve">5.5 Equipment and Supplies</w:t>
      </w:r>
    </w:p>
    <w:p>
      <w:pPr>
        <w:pStyle w:val="ListParagraph"/>
        <w:numPr>
          <w:ilvl w:val="0"/>
          <w:numId w:val="2"/>
        </w:numPr>
        <w:spacing w:after="80"/>
      </w:pPr>
      <w:r>
        <w:rPr>
          <w:sz w:val="22"/>
          <w:szCs w:val="22"/>
        </w:rPr>
        <w:t xml:space="preserve">All equipment is maintained, cleaned, and stored in accordance with manufacturer guidelines and infection control requirements</w:t>
      </w:r>
    </w:p>
    <w:p>
      <w:pPr>
        <w:pStyle w:val="ListParagraph"/>
        <w:numPr>
          <w:ilvl w:val="0"/>
          <w:numId w:val="2"/>
        </w:numPr>
        <w:spacing w:after="80"/>
      </w:pPr>
      <w:r>
        <w:rPr>
          <w:sz w:val="22"/>
          <w:szCs w:val="22"/>
        </w:rPr>
        <w:t xml:space="preserve">Adequate supplies are maintained and stock levels monitored</w:t>
      </w:r>
    </w:p>
    <w:p>
      <w:pPr>
        <w:pStyle w:val="ListParagraph"/>
        <w:numPr>
          <w:ilvl w:val="0"/>
          <w:numId w:val="2"/>
        </w:numPr>
        <w:spacing w:after="80"/>
      </w:pPr>
      <w:r>
        <w:rPr>
          <w:sz w:val="22"/>
          <w:szCs w:val="22"/>
        </w:rPr>
        <w:t xml:space="preserve">Workers are trained in the correct use, cleaning, and storage of equipment</w:t>
      </w:r>
    </w:p>
    <w:p>
      <w:pPr>
        <w:pStyle w:val="ListParagraph"/>
        <w:numPr>
          <w:ilvl w:val="0"/>
          <w:numId w:val="2"/>
        </w:numPr>
        <w:spacing w:after="80"/>
      </w:pPr>
      <w:r>
        <w:rPr>
          <w:sz w:val="22"/>
          <w:szCs w:val="22"/>
        </w:rPr>
        <w:t xml:space="preserve">Equipment failures or shortages are reported immediately</w:t>
      </w:r>
    </w:p>
    <w:p>
      <w:pPr>
        <w:pStyle w:val="Heading1"/>
      </w:pPr>
      <w:r>
        <w:t xml:space="preserve">6. Procedures</w:t>
      </w:r>
    </w:p>
    <w:p>
      <w:pPr>
        <w:pStyle w:val="ListParagraph"/>
        <w:numPr>
          <w:ilvl w:val="0"/>
          <w:numId w:val="3"/>
        </w:numPr>
        <w:spacing w:after="80"/>
      </w:pPr>
      <w:r>
        <w:rPr>
          <w:sz w:val="22"/>
          <w:szCs w:val="22"/>
        </w:rPr>
        <w:t xml:space="preserve">The participant's need for high intensity activities is identified during intake or when health needs change.</w:t>
      </w:r>
    </w:p>
    <w:p>
      <w:pPr>
        <w:pStyle w:val="ListParagraph"/>
        <w:numPr>
          <w:ilvl w:val="0"/>
          <w:numId w:val="3"/>
        </w:numPr>
        <w:spacing w:after="80"/>
      </w:pPr>
      <w:r>
        <w:rPr>
          <w:sz w:val="22"/>
          <w:szCs w:val="22"/>
        </w:rPr>
        <w:t xml:space="preserve">A referral is made to the appropriate health professional for assessment and development of a Health Management Plan.</w:t>
      </w:r>
    </w:p>
    <w:p>
      <w:pPr>
        <w:pStyle w:val="ListParagraph"/>
        <w:numPr>
          <w:ilvl w:val="0"/>
          <w:numId w:val="3"/>
        </w:numPr>
        <w:spacing w:after="80"/>
      </w:pPr>
      <w:r>
        <w:rPr>
          <w:sz w:val="22"/>
          <w:szCs w:val="22"/>
        </w:rPr>
        <w:t xml:space="preserve">The health professional provides a Health Management Plan and delivers training to the assigned workers.</w:t>
      </w:r>
    </w:p>
    <w:p>
      <w:pPr>
        <w:pStyle w:val="ListParagraph"/>
        <w:numPr>
          <w:ilvl w:val="0"/>
          <w:numId w:val="3"/>
        </w:numPr>
        <w:spacing w:after="80"/>
      </w:pPr>
      <w:r>
        <w:rPr>
          <w:sz w:val="22"/>
          <w:szCs w:val="22"/>
        </w:rPr>
        <w:t xml:space="preserve">Workers undergo competency assessment by the health professional.</w:t>
      </w:r>
    </w:p>
    <w:p>
      <w:pPr>
        <w:pStyle w:val="ListParagraph"/>
        <w:numPr>
          <w:ilvl w:val="0"/>
          <w:numId w:val="3"/>
        </w:numPr>
        <w:spacing w:after="80"/>
      </w:pPr>
      <w:r>
        <w:rPr>
          <w:sz w:val="22"/>
          <w:szCs w:val="22"/>
        </w:rPr>
        <w:t xml:space="preserve">Only workers with current, documented competency deliver the support.</w:t>
      </w:r>
    </w:p>
    <w:p>
      <w:pPr>
        <w:pStyle w:val="ListParagraph"/>
        <w:numPr>
          <w:ilvl w:val="0"/>
          <w:numId w:val="3"/>
        </w:numPr>
        <w:spacing w:after="80"/>
      </w:pPr>
      <w:r>
        <w:rPr>
          <w:sz w:val="22"/>
          <w:szCs w:val="22"/>
        </w:rPr>
        <w:t xml:space="preserve">Each instance is documented in the participant's records including time, procedure performed, observations, and any concerns.</w:t>
      </w:r>
    </w:p>
    <w:p>
      <w:pPr>
        <w:pStyle w:val="ListParagraph"/>
        <w:numPr>
          <w:ilvl w:val="0"/>
          <w:numId w:val="3"/>
        </w:numPr>
        <w:spacing w:after="80"/>
      </w:pPr>
      <w:r>
        <w:rPr>
          <w:sz w:val="22"/>
          <w:szCs w:val="22"/>
        </w:rPr>
        <w:t xml:space="preserve">Complications or adverse events are reported immediately and documented as incidents.</w:t>
      </w:r>
    </w:p>
    <w:p>
      <w:pPr>
        <w:pStyle w:val="ListParagraph"/>
        <w:numPr>
          <w:ilvl w:val="0"/>
          <w:numId w:val="3"/>
        </w:numPr>
        <w:spacing w:after="80"/>
      </w:pPr>
      <w:r>
        <w:rPr>
          <w:sz w:val="22"/>
          <w:szCs w:val="22"/>
        </w:rPr>
        <w:t xml:space="preserve">Competency reassessments are scheduled annually and tracked in the Training Register.</w:t>
      </w:r>
    </w:p>
    <w:p>
      <w:pPr>
        <w:pStyle w:val="ListParagraph"/>
        <w:numPr>
          <w:ilvl w:val="0"/>
          <w:numId w:val="3"/>
        </w:numPr>
        <w:spacing w:after="80"/>
      </w:pPr>
      <w:r>
        <w:rPr>
          <w:sz w:val="22"/>
          <w:szCs w:val="22"/>
        </w:rPr>
        <w:t xml:space="preserve">Health Management Plans are reviewed at least annually or when the participant's needs change, in consultation with the health professional.</w:t>
      </w:r>
    </w:p>
    <w:p>
      <w:pPr>
        <w:pStyle w:val="Heading1"/>
      </w:pPr>
      <w:r>
        <w:t xml:space="preserve">7. Responsibilities</w:t>
      </w:r>
    </w:p>
    <w:p>
      <w:pPr>
        <w:spacing w:after="120"/>
      </w:pPr>
      <w:r>
        <w:rPr>
          <w:b/>
          <w:bCs/>
          <w:sz w:val="22"/>
          <w:szCs w:val="22"/>
        </w:rPr>
        <w:t xml:space="preserve">Director: </w:t>
      </w:r>
      <w:r>
        <w:rPr>
          <w:sz w:val="22"/>
          <w:szCs w:val="22"/>
        </w:rPr>
        <w:t xml:space="preserve">Ensure clinical governance structures are in place, obtain Health Management Plans, arrange worker training and competency assessments, maintain the competency register, liaise with health professionals, and ensure adequate supplies and equipment.</w:t>
      </w:r>
    </w:p>
    <w:p>
      <w:pPr>
        <w:spacing w:after="120"/>
      </w:pPr>
      <w:r>
        <w:rPr>
          <w:b/>
          <w:bCs/>
          <w:sz w:val="22"/>
          <w:szCs w:val="22"/>
        </w:rPr>
        <w:t xml:space="preserve">Workers: </w:t>
      </w:r>
      <w:r>
        <w:rPr>
          <w:sz w:val="22"/>
          <w:szCs w:val="22"/>
        </w:rPr>
        <w:t xml:space="preserve">Only perform tasks for which they hold current competency, follow Health Management Plans precisely, document all instances, report complications immediately, and maintain their training.</w:t>
      </w:r>
    </w:p>
    <w:p>
      <w:pPr>
        <w:pStyle w:val="Heading1"/>
      </w:pPr>
      <w:r>
        <w:t xml:space="preserve">8. Related Documents</w:t>
      </w:r>
    </w:p>
    <w:p>
      <w:pPr>
        <w:pStyle w:val="ListParagraph"/>
        <w:numPr>
          <w:ilvl w:val="0"/>
          <w:numId w:val="2"/>
        </w:numPr>
        <w:spacing w:after="80"/>
      </w:pPr>
      <w:r>
        <w:rPr>
          <w:sz w:val="22"/>
          <w:szCs w:val="22"/>
        </w:rPr>
        <w:t xml:space="preserve">POL-ENV-004 Medication Management Policy</w:t>
      </w:r>
    </w:p>
    <w:p>
      <w:pPr>
        <w:pStyle w:val="ListParagraph"/>
        <w:numPr>
          <w:ilvl w:val="0"/>
          <w:numId w:val="2"/>
        </w:numPr>
        <w:spacing w:after="80"/>
      </w:pPr>
      <w:r>
        <w:rPr>
          <w:sz w:val="22"/>
          <w:szCs w:val="22"/>
        </w:rPr>
        <w:t xml:space="preserve">POL-ENV-005 Mealtime Management Policy</w:t>
      </w:r>
    </w:p>
    <w:p>
      <w:pPr>
        <w:pStyle w:val="ListParagraph"/>
        <w:numPr>
          <w:ilvl w:val="0"/>
          <w:numId w:val="2"/>
        </w:numPr>
        <w:spacing w:after="80"/>
      </w:pPr>
      <w:r>
        <w:rPr>
          <w:sz w:val="22"/>
          <w:szCs w:val="22"/>
        </w:rPr>
        <w:t xml:space="preserve">POL-ENV-003 Infection Prevention and Control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Health Management Plan Template</w:t>
      </w:r>
    </w:p>
    <w:p>
      <w:pPr>
        <w:pStyle w:val="ListParagraph"/>
        <w:numPr>
          <w:ilvl w:val="0"/>
          <w:numId w:val="2"/>
        </w:numPr>
        <w:spacing w:after="80"/>
      </w:pPr>
      <w:r>
        <w:rPr>
          <w:sz w:val="22"/>
          <w:szCs w:val="22"/>
        </w:rPr>
        <w:t xml:space="preserve">Competency Assessment Form</w:t>
      </w:r>
    </w:p>
    <w:p>
      <w:pPr>
        <w:pStyle w:val="ListParagraph"/>
        <w:numPr>
          <w:ilvl w:val="0"/>
          <w:numId w:val="2"/>
        </w:numPr>
        <w:spacing w:after="80"/>
      </w:pPr>
      <w:r>
        <w:rPr>
          <w:sz w:val="22"/>
          <w:szCs w:val="22"/>
        </w:rPr>
        <w:t xml:space="preserve">Training Register</w:t>
      </w:r>
    </w:p>
    <w:p>
      <w:pPr>
        <w:pStyle w:val="Heading1"/>
      </w:pPr>
      <w:r>
        <w:t xml:space="preserve">9. Review</w:t>
      </w:r>
    </w:p>
    <w:p>
      <w:pPr>
        <w:spacing w:after="120"/>
      </w:pPr>
      <w:r>
        <w:rPr>
          <w:sz w:val="22"/>
          <w:szCs w:val="22"/>
        </w:rPr>
        <w:t xml:space="preserve">This policy will be reviewed annually or sooner following clinical incidents, changes to health professional guidelines, or audit findings.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POL-SD-008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High Intensity Daily Personal Activities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2026-03-11T07:26:22.749Z</dcterms:created>
  <dcterms:modified xsi:type="dcterms:W3CDTF">2026-03-11T07:26:22.749Z</dcterms:modified>
</cp:coreProperties>
</file>

<file path=docProps/custom.xml><?xml version="1.0" encoding="utf-8"?>
<Properties xmlns="http://schemas.openxmlformats.org/officeDocument/2006/custom-properties" xmlns:vt="http://schemas.openxmlformats.org/officeDocument/2006/docPropsVTypes"/>
</file>