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WORK HEALTH AND SAFETY</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POL-WHS-001</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the work health and safety framework for Asina Disability Services to ensure a safe and healthy work environment for all workers, participants, and visitors. The organisation is committed to eliminating or minimising risks to health and safety so far as is reasonably practicable.</w:t>
      </w:r>
    </w:p>
    <w:p>
      <w:pPr>
        <w:pStyle w:val="Heading1"/>
      </w:pPr>
      <w:r>
        <w:t xml:space="preserve">2. Scope</w:t>
      </w:r>
    </w:p>
    <w:p>
      <w:pPr>
        <w:spacing w:after="120"/>
      </w:pPr>
      <w:r>
        <w:rPr>
          <w:sz w:val="22"/>
          <w:szCs w:val="22"/>
        </w:rPr>
        <w:t xml:space="preserve">This policy applies to all workplaces, workers, participants, visitors, and activities associated with Asina Disability Services. Workplaces include participant homes, community settings, organisational premises, and vehicles used for work purposes.</w:t>
      </w:r>
    </w:p>
    <w:p>
      <w:pPr>
        <w:pStyle w:val="Heading1"/>
      </w:pPr>
      <w:r>
        <w:t xml:space="preserve">3. Legislative and Standards Framework</w:t>
      </w:r>
    </w:p>
    <w:p>
      <w:pPr>
        <w:pStyle w:val="ListParagraph"/>
        <w:numPr>
          <w:ilvl w:val="0"/>
          <w:numId w:val="2"/>
        </w:numPr>
        <w:spacing w:after="80"/>
      </w:pPr>
      <w:r>
        <w:rPr>
          <w:sz w:val="22"/>
          <w:szCs w:val="22"/>
        </w:rPr>
        <w:t xml:space="preserve">Work Health and Safety Act 2011 (NSW)</w:t>
      </w:r>
    </w:p>
    <w:p>
      <w:pPr>
        <w:pStyle w:val="ListParagraph"/>
        <w:numPr>
          <w:ilvl w:val="0"/>
          <w:numId w:val="2"/>
        </w:numPr>
        <w:spacing w:after="80"/>
      </w:pPr>
      <w:r>
        <w:rPr>
          <w:sz w:val="22"/>
          <w:szCs w:val="22"/>
        </w:rPr>
        <w:t xml:space="preserve">Work Health and Safety Regulation 2017 (NSW)</w:t>
      </w:r>
    </w:p>
    <w:p>
      <w:pPr>
        <w:pStyle w:val="ListParagraph"/>
        <w:numPr>
          <w:ilvl w:val="0"/>
          <w:numId w:val="2"/>
        </w:numPr>
        <w:spacing w:after="80"/>
      </w:pPr>
      <w:r>
        <w:rPr>
          <w:sz w:val="22"/>
          <w:szCs w:val="22"/>
        </w:rPr>
        <w:t xml:space="preserve">Codes of Practice (SafeWork NSW)</w:t>
      </w:r>
    </w:p>
    <w:p>
      <w:pPr>
        <w:pStyle w:val="ListParagraph"/>
        <w:numPr>
          <w:ilvl w:val="0"/>
          <w:numId w:val="2"/>
        </w:numPr>
        <w:spacing w:after="80"/>
      </w:pPr>
      <w:r>
        <w:rPr>
          <w:sz w:val="22"/>
          <w:szCs w:val="22"/>
        </w:rPr>
        <w:t xml:space="preserve">NDIS Practice Standards - Core Module: Governance and Operational Management</w:t>
      </w:r>
    </w:p>
    <w:p>
      <w:pPr>
        <w:pStyle w:val="ListParagraph"/>
        <w:numPr>
          <w:ilvl w:val="0"/>
          <w:numId w:val="2"/>
        </w:numPr>
        <w:spacing w:after="80"/>
      </w:pPr>
      <w:r>
        <w:rPr>
          <w:sz w:val="22"/>
          <w:szCs w:val="22"/>
        </w:rPr>
        <w:t xml:space="preserve">Workers Compensation Act 1987 (NSW)</w:t>
      </w:r>
    </w:p>
    <w:p>
      <w:pPr>
        <w:pStyle w:val="ListParagraph"/>
        <w:numPr>
          <w:ilvl w:val="0"/>
          <w:numId w:val="2"/>
        </w:numPr>
        <w:spacing w:after="80"/>
      </w:pPr>
      <w:r>
        <w:rPr>
          <w:sz w:val="22"/>
          <w:szCs w:val="22"/>
        </w:rPr>
        <w:t xml:space="preserve">Workplace Injury Management and Workers Compensation Act 1998 (NSW)</w:t>
      </w:r>
    </w:p>
    <w:p>
      <w:pPr>
        <w:pStyle w:val="ListParagraph"/>
        <w:numPr>
          <w:ilvl w:val="0"/>
          <w:numId w:val="2"/>
        </w:numPr>
        <w:spacing w:after="80"/>
      </w:pPr>
      <w:r>
        <w:rPr>
          <w:sz w:val="22"/>
          <w:szCs w:val="22"/>
        </w:rPr>
        <w:t xml:space="preserve">Fair Work Act 2009 (Cth)</w:t>
      </w:r>
    </w:p>
    <w:p>
      <w:pPr>
        <w:pStyle w:val="Heading1"/>
      </w:pPr>
      <w:r>
        <w:t xml:space="preserve">4. Policy Statement</w:t>
      </w:r>
    </w:p>
    <w:p>
      <w:pPr>
        <w:pStyle w:val="Heading2"/>
      </w:pPr>
      <w:r>
        <w:t xml:space="preserve">4.1 WHS Commitment</w:t>
      </w:r>
    </w:p>
    <w:p>
      <w:pPr>
        <w:spacing w:after="120"/>
      </w:pPr>
      <w:r>
        <w:rPr>
          <w:sz w:val="22"/>
          <w:szCs w:val="22"/>
        </w:rPr>
        <w:t xml:space="preserve">Asina Disability Services is committed to:</w:t>
      </w:r>
    </w:p>
    <w:p>
      <w:pPr>
        <w:pStyle w:val="ListParagraph"/>
        <w:numPr>
          <w:ilvl w:val="0"/>
          <w:numId w:val="2"/>
        </w:numPr>
        <w:spacing w:after="80"/>
      </w:pPr>
      <w:r>
        <w:rPr>
          <w:sz w:val="22"/>
          <w:szCs w:val="22"/>
        </w:rPr>
        <w:t xml:space="preserve">Providing and maintaining a work environment that is safe and without risks to health</w:t>
      </w:r>
    </w:p>
    <w:p>
      <w:pPr>
        <w:pStyle w:val="ListParagraph"/>
        <w:numPr>
          <w:ilvl w:val="0"/>
          <w:numId w:val="2"/>
        </w:numPr>
        <w:spacing w:after="80"/>
      </w:pPr>
      <w:r>
        <w:rPr>
          <w:sz w:val="22"/>
          <w:szCs w:val="22"/>
        </w:rPr>
        <w:t xml:space="preserve">Providing adequate facilities for the welfare of workers</w:t>
      </w:r>
    </w:p>
    <w:p>
      <w:pPr>
        <w:pStyle w:val="ListParagraph"/>
        <w:numPr>
          <w:ilvl w:val="0"/>
          <w:numId w:val="2"/>
        </w:numPr>
        <w:spacing w:after="80"/>
      </w:pPr>
      <w:r>
        <w:rPr>
          <w:sz w:val="22"/>
          <w:szCs w:val="22"/>
        </w:rPr>
        <w:t xml:space="preserve">Providing information, training, instruction, and supervision to ensure health and safety</w:t>
      </w:r>
    </w:p>
    <w:p>
      <w:pPr>
        <w:pStyle w:val="ListParagraph"/>
        <w:numPr>
          <w:ilvl w:val="0"/>
          <w:numId w:val="2"/>
        </w:numPr>
        <w:spacing w:after="80"/>
      </w:pPr>
      <w:r>
        <w:rPr>
          <w:sz w:val="22"/>
          <w:szCs w:val="22"/>
        </w:rPr>
        <w:t xml:space="preserve">Monitoring the health of workers and the conditions at the workplace to prevent illness or injury</w:t>
      </w:r>
    </w:p>
    <w:p>
      <w:pPr>
        <w:pStyle w:val="ListParagraph"/>
        <w:numPr>
          <w:ilvl w:val="0"/>
          <w:numId w:val="2"/>
        </w:numPr>
        <w:spacing w:after="80"/>
      </w:pPr>
      <w:r>
        <w:rPr>
          <w:sz w:val="22"/>
          <w:szCs w:val="22"/>
        </w:rPr>
        <w:t xml:space="preserve">Consulting with workers on WHS matters</w:t>
      </w:r>
    </w:p>
    <w:p>
      <w:pPr>
        <w:pStyle w:val="ListParagraph"/>
        <w:numPr>
          <w:ilvl w:val="0"/>
          <w:numId w:val="2"/>
        </w:numPr>
        <w:spacing w:after="80"/>
      </w:pPr>
      <w:r>
        <w:rPr>
          <w:sz w:val="22"/>
          <w:szCs w:val="22"/>
        </w:rPr>
        <w:t xml:space="preserve">Ensuring compliance with all WHS legislation, regulations, and codes of practice</w:t>
      </w:r>
    </w:p>
    <w:p>
      <w:pPr>
        <w:pStyle w:val="Heading2"/>
      </w:pPr>
      <w:r>
        <w:t xml:space="preserve">4.2 Hazard Identification and Risk Management</w:t>
      </w:r>
    </w:p>
    <w:p>
      <w:pPr>
        <w:spacing w:after="120"/>
      </w:pPr>
      <w:r>
        <w:rPr>
          <w:sz w:val="22"/>
          <w:szCs w:val="22"/>
        </w:rPr>
        <w:t xml:space="preserve">The organisation systematically identifies and manages WHS risks:</w:t>
      </w:r>
    </w:p>
    <w:p>
      <w:pPr>
        <w:pStyle w:val="ListParagraph"/>
        <w:numPr>
          <w:ilvl w:val="0"/>
          <w:numId w:val="2"/>
        </w:numPr>
        <w:spacing w:after="80"/>
      </w:pPr>
      <w:r>
        <w:rPr>
          <w:sz w:val="22"/>
          <w:szCs w:val="22"/>
        </w:rPr>
        <w:t xml:space="preserve">Workplace risk assessments are conducted for all work environments, including participant homes, before supports commence</w:t>
      </w:r>
    </w:p>
    <w:p>
      <w:pPr>
        <w:pStyle w:val="ListParagraph"/>
        <w:numPr>
          <w:ilvl w:val="0"/>
          <w:numId w:val="2"/>
        </w:numPr>
        <w:spacing w:after="80"/>
      </w:pPr>
      <w:r>
        <w:rPr>
          <w:sz w:val="22"/>
          <w:szCs w:val="22"/>
        </w:rPr>
        <w:t xml:space="preserve">Hazards are identified through inspections, incident reports, worker feedback, and risk assessments</w:t>
      </w:r>
    </w:p>
    <w:p>
      <w:pPr>
        <w:pStyle w:val="ListParagraph"/>
        <w:numPr>
          <w:ilvl w:val="0"/>
          <w:numId w:val="2"/>
        </w:numPr>
        <w:spacing w:after="80"/>
      </w:pPr>
      <w:r>
        <w:rPr>
          <w:sz w:val="22"/>
          <w:szCs w:val="22"/>
        </w:rPr>
        <w:t xml:space="preserve">The hierarchy of controls is applied: elimination, substitution, engineering controls, administrative controls, personal protective equipment</w:t>
      </w:r>
    </w:p>
    <w:p>
      <w:pPr>
        <w:pStyle w:val="ListParagraph"/>
        <w:numPr>
          <w:ilvl w:val="0"/>
          <w:numId w:val="2"/>
        </w:numPr>
        <w:spacing w:after="80"/>
      </w:pPr>
      <w:r>
        <w:rPr>
          <w:sz w:val="22"/>
          <w:szCs w:val="22"/>
        </w:rPr>
        <w:t xml:space="preserve">Risk assessments are reviewed when work conditions change or following an incident</w:t>
      </w:r>
    </w:p>
    <w:p>
      <w:pPr>
        <w:pStyle w:val="Heading2"/>
      </w:pPr>
      <w:r>
        <w:t xml:space="preserve">4.3 Key WHS Areas</w:t>
      </w:r>
    </w:p>
    <w:p>
      <w:pPr>
        <w:pStyle w:val="Heading3"/>
      </w:pPr>
      <w:r>
        <w:t xml:space="preserve">Manual Handling</w:t>
      </w:r>
    </w:p>
    <w:p>
      <w:pPr>
        <w:pStyle w:val="ListParagraph"/>
        <w:numPr>
          <w:ilvl w:val="0"/>
          <w:numId w:val="2"/>
        </w:numPr>
        <w:spacing w:after="80"/>
      </w:pPr>
      <w:r>
        <w:rPr>
          <w:sz w:val="22"/>
          <w:szCs w:val="22"/>
        </w:rPr>
        <w:t xml:space="preserve">Manual handling risk assessments are completed for all tasks involving lifting, pushing, pulling, or carrying</w:t>
      </w:r>
    </w:p>
    <w:p>
      <w:pPr>
        <w:pStyle w:val="ListParagraph"/>
        <w:numPr>
          <w:ilvl w:val="0"/>
          <w:numId w:val="2"/>
        </w:numPr>
        <w:spacing w:after="80"/>
      </w:pPr>
      <w:r>
        <w:rPr>
          <w:sz w:val="22"/>
          <w:szCs w:val="22"/>
        </w:rPr>
        <w:t xml:space="preserve">Workers are trained in safe manual handling techniques</w:t>
      </w:r>
    </w:p>
    <w:p>
      <w:pPr>
        <w:pStyle w:val="ListParagraph"/>
        <w:numPr>
          <w:ilvl w:val="0"/>
          <w:numId w:val="2"/>
        </w:numPr>
        <w:spacing w:after="80"/>
      </w:pPr>
      <w:r>
        <w:rPr>
          <w:sz w:val="22"/>
          <w:szCs w:val="22"/>
        </w:rPr>
        <w:t xml:space="preserve">Appropriate equipment is provided and maintained (e.g., hoists, slide sheets)</w:t>
      </w:r>
    </w:p>
    <w:p>
      <w:pPr>
        <w:pStyle w:val="Heading3"/>
      </w:pPr>
      <w:r>
        <w:t xml:space="preserve">Infection Control</w:t>
      </w:r>
    </w:p>
    <w:p>
      <w:pPr>
        <w:pStyle w:val="ListParagraph"/>
        <w:numPr>
          <w:ilvl w:val="0"/>
          <w:numId w:val="2"/>
        </w:numPr>
        <w:spacing w:after="80"/>
      </w:pPr>
      <w:r>
        <w:rPr>
          <w:sz w:val="22"/>
          <w:szCs w:val="22"/>
        </w:rPr>
        <w:t xml:space="preserve">Standard precautions are implemented for all support delivery</w:t>
      </w:r>
    </w:p>
    <w:p>
      <w:pPr>
        <w:pStyle w:val="ListParagraph"/>
        <w:numPr>
          <w:ilvl w:val="0"/>
          <w:numId w:val="2"/>
        </w:numPr>
        <w:spacing w:after="80"/>
      </w:pPr>
      <w:r>
        <w:rPr>
          <w:sz w:val="22"/>
          <w:szCs w:val="22"/>
        </w:rPr>
        <w:t xml:space="preserve">Personal protective equipment (PPE) is provided and workers are trained in its use</w:t>
      </w:r>
    </w:p>
    <w:p>
      <w:pPr>
        <w:pStyle w:val="ListParagraph"/>
        <w:numPr>
          <w:ilvl w:val="0"/>
          <w:numId w:val="2"/>
        </w:numPr>
        <w:spacing w:after="80"/>
      </w:pPr>
      <w:r>
        <w:rPr>
          <w:sz w:val="22"/>
          <w:szCs w:val="22"/>
        </w:rPr>
        <w:t xml:space="preserve">Hand hygiene protocols are followed</w:t>
      </w:r>
    </w:p>
    <w:p>
      <w:pPr>
        <w:pStyle w:val="ListParagraph"/>
        <w:numPr>
          <w:ilvl w:val="0"/>
          <w:numId w:val="2"/>
        </w:numPr>
        <w:spacing w:after="80"/>
      </w:pPr>
      <w:r>
        <w:rPr>
          <w:sz w:val="22"/>
          <w:szCs w:val="22"/>
        </w:rPr>
        <w:t xml:space="preserve">Infection control procedures are detailed in POL-ENV-003</w:t>
      </w:r>
    </w:p>
    <w:p>
      <w:pPr>
        <w:pStyle w:val="Heading3"/>
      </w:pPr>
      <w:r>
        <w:t xml:space="preserve">Psychological Safety</w:t>
      </w:r>
    </w:p>
    <w:p>
      <w:pPr>
        <w:pStyle w:val="ListParagraph"/>
        <w:numPr>
          <w:ilvl w:val="0"/>
          <w:numId w:val="2"/>
        </w:numPr>
        <w:spacing w:after="80"/>
      </w:pPr>
      <w:r>
        <w:rPr>
          <w:sz w:val="22"/>
          <w:szCs w:val="22"/>
        </w:rPr>
        <w:t xml:space="preserve">The organisation takes a proactive approach to managing psychosocial hazards</w:t>
      </w:r>
    </w:p>
    <w:p>
      <w:pPr>
        <w:pStyle w:val="ListParagraph"/>
        <w:numPr>
          <w:ilvl w:val="0"/>
          <w:numId w:val="2"/>
        </w:numPr>
        <w:spacing w:after="80"/>
      </w:pPr>
      <w:r>
        <w:rPr>
          <w:sz w:val="22"/>
          <w:szCs w:val="22"/>
        </w:rPr>
        <w:t xml:space="preserve">Workers are supported to manage workplace stress, vicarious trauma, and challenging situations</w:t>
      </w:r>
    </w:p>
    <w:p>
      <w:pPr>
        <w:pStyle w:val="ListParagraph"/>
        <w:numPr>
          <w:ilvl w:val="0"/>
          <w:numId w:val="2"/>
        </w:numPr>
        <w:spacing w:after="80"/>
      </w:pPr>
      <w:r>
        <w:rPr>
          <w:sz w:val="22"/>
          <w:szCs w:val="22"/>
        </w:rPr>
        <w:t xml:space="preserve">Access to Employee Assistance Programs or counselling is provided</w:t>
      </w:r>
    </w:p>
    <w:p>
      <w:pPr>
        <w:pStyle w:val="Heading3"/>
      </w:pPr>
      <w:r>
        <w:t xml:space="preserve">Lone Worker Safety</w:t>
      </w:r>
    </w:p>
    <w:p>
      <w:pPr>
        <w:pStyle w:val="ListParagraph"/>
        <w:numPr>
          <w:ilvl w:val="0"/>
          <w:numId w:val="2"/>
        </w:numPr>
        <w:spacing w:after="80"/>
      </w:pPr>
      <w:r>
        <w:rPr>
          <w:sz w:val="22"/>
          <w:szCs w:val="22"/>
        </w:rPr>
        <w:t xml:space="preserve">Risk assessments are completed for all lone working situations</w:t>
      </w:r>
    </w:p>
    <w:p>
      <w:pPr>
        <w:pStyle w:val="ListParagraph"/>
        <w:numPr>
          <w:ilvl w:val="0"/>
          <w:numId w:val="2"/>
        </w:numPr>
        <w:spacing w:after="80"/>
      </w:pPr>
      <w:r>
        <w:rPr>
          <w:sz w:val="22"/>
          <w:szCs w:val="22"/>
        </w:rPr>
        <w:t xml:space="preserve">Check-in procedures are in place for workers delivering supports alone</w:t>
      </w:r>
    </w:p>
    <w:p>
      <w:pPr>
        <w:pStyle w:val="ListParagraph"/>
        <w:numPr>
          <w:ilvl w:val="0"/>
          <w:numId w:val="2"/>
        </w:numPr>
        <w:spacing w:after="80"/>
      </w:pPr>
      <w:r>
        <w:rPr>
          <w:sz w:val="22"/>
          <w:szCs w:val="22"/>
        </w:rPr>
        <w:t xml:space="preserve">Workers carry a mobile phone and have access to emergency contacts</w:t>
      </w:r>
    </w:p>
    <w:p>
      <w:pPr>
        <w:pStyle w:val="ListParagraph"/>
        <w:numPr>
          <w:ilvl w:val="0"/>
          <w:numId w:val="2"/>
        </w:numPr>
        <w:spacing w:after="80"/>
      </w:pPr>
      <w:r>
        <w:rPr>
          <w:sz w:val="22"/>
          <w:szCs w:val="22"/>
        </w:rPr>
        <w:t xml:space="preserve">Escalation procedures are in place if a worker does not check in</w:t>
      </w:r>
    </w:p>
    <w:p>
      <w:pPr>
        <w:pStyle w:val="Heading2"/>
      </w:pPr>
      <w:r>
        <w:t xml:space="preserve">4.4 Worker Consultation</w:t>
      </w:r>
    </w:p>
    <w:p>
      <w:pPr>
        <w:spacing w:after="120"/>
      </w:pPr>
      <w:r>
        <w:rPr>
          <w:sz w:val="22"/>
          <w:szCs w:val="22"/>
        </w:rPr>
        <w:t xml:space="preserve">Workers are consulted on WHS matters including:</w:t>
      </w:r>
    </w:p>
    <w:p>
      <w:pPr>
        <w:pStyle w:val="ListParagraph"/>
        <w:numPr>
          <w:ilvl w:val="0"/>
          <w:numId w:val="2"/>
        </w:numPr>
        <w:spacing w:after="80"/>
      </w:pPr>
      <w:r>
        <w:rPr>
          <w:sz w:val="22"/>
          <w:szCs w:val="22"/>
        </w:rPr>
        <w:t xml:space="preserve">Identification of hazards and assessment of risks</w:t>
      </w:r>
    </w:p>
    <w:p>
      <w:pPr>
        <w:pStyle w:val="ListParagraph"/>
        <w:numPr>
          <w:ilvl w:val="0"/>
          <w:numId w:val="2"/>
        </w:numPr>
        <w:spacing w:after="80"/>
      </w:pPr>
      <w:r>
        <w:rPr>
          <w:sz w:val="22"/>
          <w:szCs w:val="22"/>
        </w:rPr>
        <w:t xml:space="preserve">Decisions about ways to eliminate or minimise risks</w:t>
      </w:r>
    </w:p>
    <w:p>
      <w:pPr>
        <w:pStyle w:val="ListParagraph"/>
        <w:numPr>
          <w:ilvl w:val="0"/>
          <w:numId w:val="2"/>
        </w:numPr>
        <w:spacing w:after="80"/>
      </w:pPr>
      <w:r>
        <w:rPr>
          <w:sz w:val="22"/>
          <w:szCs w:val="22"/>
        </w:rPr>
        <w:t xml:space="preserve">Proposed changes to the workplace, systems of work, or procedures</w:t>
      </w:r>
    </w:p>
    <w:p>
      <w:pPr>
        <w:pStyle w:val="ListParagraph"/>
        <w:numPr>
          <w:ilvl w:val="0"/>
          <w:numId w:val="2"/>
        </w:numPr>
        <w:spacing w:after="80"/>
      </w:pPr>
      <w:r>
        <w:rPr>
          <w:sz w:val="22"/>
          <w:szCs w:val="22"/>
        </w:rPr>
        <w:t xml:space="preserve">The adequacy of facilities for worker welfare</w:t>
      </w:r>
    </w:p>
    <w:p>
      <w:pPr>
        <w:pStyle w:val="Heading2"/>
      </w:pPr>
      <w:r>
        <w:t xml:space="preserve">4.5 Incident Notification to SafeWork NSW</w:t>
      </w:r>
    </w:p>
    <w:p>
      <w:pPr>
        <w:spacing w:after="120"/>
      </w:pPr>
      <w:r>
        <w:rPr>
          <w:sz w:val="22"/>
          <w:szCs w:val="22"/>
        </w:rPr>
        <w:t xml:space="preserve">Certain incidents must be notified to SafeWork NSW:</w:t>
      </w:r>
    </w:p>
    <w:p>
      <w:pPr>
        <w:pStyle w:val="ListParagraph"/>
        <w:numPr>
          <w:ilvl w:val="0"/>
          <w:numId w:val="2"/>
        </w:numPr>
        <w:spacing w:after="80"/>
      </w:pPr>
      <w:r>
        <w:rPr>
          <w:sz w:val="22"/>
          <w:szCs w:val="22"/>
        </w:rPr>
        <w:t xml:space="preserve">Death of a person</w:t>
      </w:r>
    </w:p>
    <w:p>
      <w:pPr>
        <w:pStyle w:val="ListParagraph"/>
        <w:numPr>
          <w:ilvl w:val="0"/>
          <w:numId w:val="2"/>
        </w:numPr>
        <w:spacing w:after="80"/>
      </w:pPr>
      <w:r>
        <w:rPr>
          <w:sz w:val="22"/>
          <w:szCs w:val="22"/>
        </w:rPr>
        <w:t xml:space="preserve">Serious injury or illness (as defined in the WHS Act)</w:t>
      </w:r>
    </w:p>
    <w:p>
      <w:pPr>
        <w:pStyle w:val="ListParagraph"/>
        <w:numPr>
          <w:ilvl w:val="0"/>
          <w:numId w:val="2"/>
        </w:numPr>
        <w:spacing w:after="80"/>
      </w:pPr>
      <w:r>
        <w:rPr>
          <w:sz w:val="22"/>
          <w:szCs w:val="22"/>
        </w:rPr>
        <w:t xml:space="preserve">A dangerous incident (as defined in the WHS Act)</w:t>
      </w:r>
    </w:p>
    <w:p>
      <w:pPr>
        <w:spacing w:after="120"/>
      </w:pPr>
      <w:r>
        <w:rPr>
          <w:sz w:val="22"/>
          <w:szCs w:val="22"/>
        </w:rPr>
        <w:t xml:space="preserve">The site must be preserved, and notification made immediately to SafeWork NSW on 13 10 50.</w:t>
      </w:r>
    </w:p>
    <w:p>
      <w:pPr>
        <w:pStyle w:val="Heading1"/>
      </w:pPr>
      <w:r>
        <w:t xml:space="preserve">5. Procedures</w:t>
      </w:r>
    </w:p>
    <w:p>
      <w:pPr>
        <w:pStyle w:val="Heading2"/>
      </w:pPr>
      <w:r>
        <w:t xml:space="preserve">5.1 Workplace Inspections</w:t>
      </w:r>
    </w:p>
    <w:p>
      <w:pPr>
        <w:pStyle w:val="ListParagraph"/>
        <w:numPr>
          <w:ilvl w:val="0"/>
          <w:numId w:val="3"/>
        </w:numPr>
        <w:spacing w:after="80"/>
      </w:pPr>
      <w:r>
        <w:rPr>
          <w:sz w:val="22"/>
          <w:szCs w:val="22"/>
        </w:rPr>
        <w:t xml:space="preserve">Workplace inspections of participant homes and other work environments are conducted before supports commence and reviewed at least annually.</w:t>
      </w:r>
    </w:p>
    <w:p>
      <w:pPr>
        <w:pStyle w:val="ListParagraph"/>
        <w:numPr>
          <w:ilvl w:val="0"/>
          <w:numId w:val="3"/>
        </w:numPr>
        <w:spacing w:after="80"/>
      </w:pPr>
      <w:r>
        <w:rPr>
          <w:sz w:val="22"/>
          <w:szCs w:val="22"/>
        </w:rPr>
        <w:t xml:space="preserve">Findings are documented on the Workplace Inspection Checklist.</w:t>
      </w:r>
    </w:p>
    <w:p>
      <w:pPr>
        <w:pStyle w:val="ListParagraph"/>
        <w:numPr>
          <w:ilvl w:val="0"/>
          <w:numId w:val="3"/>
        </w:numPr>
        <w:spacing w:after="80"/>
      </w:pPr>
      <w:r>
        <w:rPr>
          <w:sz w:val="22"/>
          <w:szCs w:val="22"/>
        </w:rPr>
        <w:t xml:space="preserve">Actions to address identified hazards are implemented and tracked.</w:t>
      </w:r>
    </w:p>
    <w:p>
      <w:pPr>
        <w:pStyle w:val="Heading2"/>
      </w:pPr>
      <w:r>
        <w:t xml:space="preserve">5.2 Hazard Reporting</w:t>
      </w:r>
    </w:p>
    <w:p>
      <w:pPr>
        <w:pStyle w:val="ListParagraph"/>
        <w:numPr>
          <w:ilvl w:val="0"/>
          <w:numId w:val="3"/>
        </w:numPr>
        <w:spacing w:after="80"/>
      </w:pPr>
      <w:r>
        <w:rPr>
          <w:sz w:val="22"/>
          <w:szCs w:val="22"/>
        </w:rPr>
        <w:t xml:space="preserve">All workers are required to report hazards and safety concerns immediately.</w:t>
      </w:r>
    </w:p>
    <w:p>
      <w:pPr>
        <w:pStyle w:val="ListParagraph"/>
        <w:numPr>
          <w:ilvl w:val="0"/>
          <w:numId w:val="3"/>
        </w:numPr>
        <w:spacing w:after="80"/>
      </w:pPr>
      <w:r>
        <w:rPr>
          <w:sz w:val="22"/>
          <w:szCs w:val="22"/>
        </w:rPr>
        <w:t xml:space="preserve">Hazards are recorded in the Hazard Register.</w:t>
      </w:r>
    </w:p>
    <w:p>
      <w:pPr>
        <w:pStyle w:val="ListParagraph"/>
        <w:numPr>
          <w:ilvl w:val="0"/>
          <w:numId w:val="3"/>
        </w:numPr>
        <w:spacing w:after="80"/>
      </w:pPr>
      <w:r>
        <w:rPr>
          <w:sz w:val="22"/>
          <w:szCs w:val="22"/>
        </w:rPr>
        <w:t xml:space="preserve">The Director assesses the hazard and implements controls.</w:t>
      </w:r>
    </w:p>
    <w:p>
      <w:pPr>
        <w:pStyle w:val="ListParagraph"/>
        <w:numPr>
          <w:ilvl w:val="0"/>
          <w:numId w:val="3"/>
        </w:numPr>
        <w:spacing w:after="80"/>
      </w:pPr>
      <w:r>
        <w:rPr>
          <w:sz w:val="22"/>
          <w:szCs w:val="22"/>
        </w:rPr>
        <w:t xml:space="preserve">The worker is informed of the action taken.</w:t>
      </w:r>
    </w:p>
    <w:p>
      <w:pPr>
        <w:pStyle w:val="Heading2"/>
      </w:pPr>
      <w:r>
        <w:t xml:space="preserve">5.3 Workers Compensation</w:t>
      </w:r>
    </w:p>
    <w:p>
      <w:pPr>
        <w:pStyle w:val="ListParagraph"/>
        <w:numPr>
          <w:ilvl w:val="0"/>
          <w:numId w:val="3"/>
        </w:numPr>
        <w:spacing w:after="80"/>
      </w:pPr>
      <w:r>
        <w:rPr>
          <w:sz w:val="22"/>
          <w:szCs w:val="22"/>
        </w:rPr>
        <w:t xml:space="preserve">Workers who are injured at work must report the injury to the Director as soon as possible.</w:t>
      </w:r>
    </w:p>
    <w:p>
      <w:pPr>
        <w:pStyle w:val="ListParagraph"/>
        <w:numPr>
          <w:ilvl w:val="0"/>
          <w:numId w:val="3"/>
        </w:numPr>
        <w:spacing w:after="80"/>
      </w:pPr>
      <w:r>
        <w:rPr>
          <w:sz w:val="22"/>
          <w:szCs w:val="22"/>
        </w:rPr>
        <w:t xml:space="preserve">The Director assists the worker to lodge a workers compensation claim with the insurer.</w:t>
      </w:r>
    </w:p>
    <w:p>
      <w:pPr>
        <w:pStyle w:val="ListParagraph"/>
        <w:numPr>
          <w:ilvl w:val="0"/>
          <w:numId w:val="3"/>
        </w:numPr>
        <w:spacing w:after="80"/>
      </w:pPr>
      <w:r>
        <w:rPr>
          <w:sz w:val="22"/>
          <w:szCs w:val="22"/>
        </w:rPr>
        <w:t xml:space="preserve">A return-to-work plan is developed in consultation with the worker, their treating doctor, and the insurer.</w:t>
      </w:r>
    </w:p>
    <w:p>
      <w:pPr>
        <w:pStyle w:val="Heading1"/>
      </w:pPr>
      <w:r>
        <w:t xml:space="preserve">6. Responsibilities</w:t>
      </w:r>
    </w:p>
    <w:p>
      <w:pPr>
        <w:spacing w:after="120"/>
      </w:pPr>
      <w:r>
        <w:rPr>
          <w:b/>
          <w:bCs/>
          <w:sz w:val="22"/>
          <w:szCs w:val="22"/>
        </w:rPr>
        <w:t xml:space="preserve">Director (as PCBU - Person Conducting a Business or Undertaking): </w:t>
      </w:r>
      <w:r>
        <w:rPr>
          <w:sz w:val="22"/>
          <w:szCs w:val="22"/>
        </w:rPr>
        <w:t xml:space="preserve">Ensure compliance with WHS legislation, provide safe systems of work, provide training and supervision, consult with workers, maintain WHS records, and report notifiable incidents to SafeWork NSW.</w:t>
      </w:r>
    </w:p>
    <w:p>
      <w:pPr>
        <w:spacing w:after="120"/>
      </w:pPr>
      <w:r>
        <w:rPr>
          <w:b/>
          <w:bCs/>
          <w:sz w:val="22"/>
          <w:szCs w:val="22"/>
        </w:rPr>
        <w:t xml:space="preserve">Workers: </w:t>
      </w:r>
      <w:r>
        <w:rPr>
          <w:sz w:val="22"/>
          <w:szCs w:val="22"/>
        </w:rPr>
        <w:t xml:space="preserve">Take reasonable care for their own health and safety and that of others, comply with WHS instructions and procedures, report hazards and incidents, use PPE as required, and not intentionally put anyone at risk.</w:t>
      </w:r>
    </w:p>
    <w:p>
      <w:pPr>
        <w:pStyle w:val="Heading1"/>
      </w:pPr>
      <w:r>
        <w:t xml:space="preserve">7. Related Documents</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POL-GOV-002 Risk Management Policy</w:t>
      </w:r>
    </w:p>
    <w:p>
      <w:pPr>
        <w:pStyle w:val="ListParagraph"/>
        <w:numPr>
          <w:ilvl w:val="0"/>
          <w:numId w:val="2"/>
        </w:numPr>
        <w:spacing w:after="80"/>
      </w:pPr>
      <w:r>
        <w:rPr>
          <w:sz w:val="22"/>
          <w:szCs w:val="22"/>
        </w:rPr>
        <w:t xml:space="preserve">POL-ENV-002 Emergency and Disaster Management Policy</w:t>
      </w:r>
    </w:p>
    <w:p>
      <w:pPr>
        <w:pStyle w:val="ListParagraph"/>
        <w:numPr>
          <w:ilvl w:val="0"/>
          <w:numId w:val="2"/>
        </w:numPr>
        <w:spacing w:after="80"/>
      </w:pPr>
      <w:r>
        <w:rPr>
          <w:sz w:val="22"/>
          <w:szCs w:val="22"/>
        </w:rPr>
        <w:t xml:space="preserve">POL-ENV-003 Infection Prevention and Control Policy</w:t>
      </w:r>
    </w:p>
    <w:p>
      <w:pPr>
        <w:pStyle w:val="ListParagraph"/>
        <w:numPr>
          <w:ilvl w:val="0"/>
          <w:numId w:val="2"/>
        </w:numPr>
        <w:spacing w:after="80"/>
      </w:pPr>
      <w:r>
        <w:rPr>
          <w:sz w:val="22"/>
          <w:szCs w:val="22"/>
        </w:rPr>
        <w:t xml:space="preserve">Workplace Inspection Checklist</w:t>
      </w:r>
    </w:p>
    <w:p>
      <w:pPr>
        <w:pStyle w:val="ListParagraph"/>
        <w:numPr>
          <w:ilvl w:val="0"/>
          <w:numId w:val="2"/>
        </w:numPr>
        <w:spacing w:after="80"/>
      </w:pPr>
      <w:r>
        <w:rPr>
          <w:sz w:val="22"/>
          <w:szCs w:val="22"/>
        </w:rPr>
        <w:t xml:space="preserve">Hazard Register</w:t>
      </w:r>
    </w:p>
    <w:p>
      <w:pPr>
        <w:pStyle w:val="ListParagraph"/>
        <w:numPr>
          <w:ilvl w:val="0"/>
          <w:numId w:val="2"/>
        </w:numPr>
        <w:spacing w:after="80"/>
      </w:pPr>
      <w:r>
        <w:rPr>
          <w:sz w:val="22"/>
          <w:szCs w:val="22"/>
        </w:rPr>
        <w:t xml:space="preserve">Risk Assessment Template</w:t>
      </w:r>
    </w:p>
    <w:p>
      <w:pPr>
        <w:pStyle w:val="ListParagraph"/>
        <w:numPr>
          <w:ilvl w:val="0"/>
          <w:numId w:val="2"/>
        </w:numPr>
        <w:spacing w:after="80"/>
      </w:pPr>
      <w:r>
        <w:rPr>
          <w:sz w:val="22"/>
          <w:szCs w:val="22"/>
        </w:rPr>
        <w:t xml:space="preserve">Return to Work Plan Template</w:t>
      </w:r>
    </w:p>
    <w:p>
      <w:pPr>
        <w:pStyle w:val="Heading1"/>
      </w:pPr>
      <w:r>
        <w:t xml:space="preserve">8. Review</w:t>
      </w:r>
    </w:p>
    <w:p>
      <w:pPr>
        <w:spacing w:after="120"/>
      </w:pPr>
      <w:r>
        <w:rPr>
          <w:sz w:val="22"/>
          <w:szCs w:val="22"/>
        </w:rPr>
        <w:t xml:space="preserve">This policy will be reviewed annually or sooner following WHS incidents, legislative changes, audit findings, or worker feedback.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POL-WHS-001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Work Health and Safety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2026-03-11T07:00:39.967Z</dcterms:created>
  <dcterms:modified xsi:type="dcterms:W3CDTF">2026-03-11T07:00:39.967Z</dcterms:modified>
</cp:coreProperties>
</file>

<file path=docProps/custom.xml><?xml version="1.0" encoding="utf-8"?>
<Properties xmlns="http://schemas.openxmlformats.org/officeDocument/2006/custom-properties" xmlns:vt="http://schemas.openxmlformats.org/officeDocument/2006/docPropsVTypes"/>
</file>