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sz w:val="36"/>
          <w:szCs w:val="36"/>
          <w:rtl w:val="0"/>
        </w:rPr>
        <w:t xml:space="preserve">Management Estimations and Actuals</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Our project had 3 full sprints spread out over 3 weeks. We had 51 user stories that were implemented and each one of them is given an estimate on the pages below. Next to the estimates are the Actuals, or the correct amount of time they took to do. 42/51 (81%) of the user stories were completed in the allotted time or less. Only 9/51 (19%) user stories took over the amount of time given. Overall, our estimates were fairly accurate. Some stories took less than estimated due to over estimation on our part. We didn’t want to underestimate a task and cause the developer to rush and accidentally run into errors. We decided that minor overestimation that lead to early completion of a task was better than underestimating and not having a component done on time.  The underestimations we do have were due to unforeseen errors that the developer ran into. Some of these were caused by using unfamiliar technology such as JUnit and Jarchitect that were initially difficult to integrate and involved a slight learning curve we didn’t account for. Overall or estimations were fairly accurate and most of the work was done right on time with little spill over. Of course, in the future we would like to increase the amount of the work done on time and now we can do so based on the data we have gained.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37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495"/>
        <w:gridCol w:w="2430"/>
        <w:gridCol w:w="2445"/>
        <w:tblGridChange w:id="0">
          <w:tblGrid>
            <w:gridCol w:w="3495"/>
            <w:gridCol w:w="2430"/>
            <w:gridCol w:w="244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Task Estimations (minutes)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Actuals (minutes)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Class Diagram 1/3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Class Diagram 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Sequence Diagram</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Blackjack Class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dealHand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getCardsLeft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shuffle method bj</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getDealerSecondCard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getPlayerSecondCard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getDealerCard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getPlayerCard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setWinnerAndPosition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setCards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setWager getWager methods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setBalance getBalance methods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printDeck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getCardsLeftInDeck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getOneCard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shuffleDeck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getNextCard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getDeckSize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cardDeck class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runBJ class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Comment code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Code review</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Video Demo #1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Video Demo #2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printPlayerCards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printDealerCards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playerTotal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dealerTotal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checkHands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getValue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dealerPlay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getCardLeft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hit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hitDD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initializeHands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initialHands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getBet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userOption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userLimitedOption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playBJ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ICD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System test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480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Unit Testing</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Static Analysis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Video Demo 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Class Diagram 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