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09D" w:rsidRDefault="00F50CA8" w:rsidP="00CB1914">
      <w:pPr>
        <w:rPr>
          <w:rFonts w:ascii="Arial" w:hAnsi="Arial"/>
          <w:b/>
          <w:sz w:val="20"/>
          <w:szCs w:val="24"/>
        </w:rPr>
      </w:pPr>
      <w:r>
        <w:rPr>
          <w:rFonts w:ascii="Arial" w:hAnsi="Arial"/>
          <w:b/>
          <w:sz w:val="20"/>
          <w:szCs w:val="24"/>
        </w:rPr>
        <w:t>Sharing Personal Health Data to Improve</w:t>
      </w:r>
      <w:r w:rsidR="00D463F5" w:rsidRPr="00CB1914">
        <w:rPr>
          <w:rFonts w:ascii="Arial" w:hAnsi="Arial"/>
          <w:b/>
          <w:sz w:val="20"/>
          <w:szCs w:val="24"/>
        </w:rPr>
        <w:t xml:space="preserve"> Treatment</w:t>
      </w:r>
      <w:r w:rsidR="00941EDC" w:rsidRPr="00CB1914">
        <w:rPr>
          <w:rFonts w:ascii="Arial" w:hAnsi="Arial"/>
          <w:b/>
          <w:sz w:val="20"/>
          <w:szCs w:val="24"/>
        </w:rPr>
        <w:t xml:space="preserve"> of Chronic Conditions</w:t>
      </w:r>
    </w:p>
    <w:p w:rsidR="00BD309D" w:rsidRPr="008B0F42" w:rsidRDefault="00BD309D" w:rsidP="00CB1914">
      <w:pPr>
        <w:rPr>
          <w:rFonts w:ascii="Arial" w:hAnsi="Arial"/>
          <w:sz w:val="20"/>
          <w:szCs w:val="24"/>
        </w:rPr>
      </w:pPr>
      <w:r w:rsidRPr="008B0F42">
        <w:rPr>
          <w:rFonts w:ascii="Arial" w:hAnsi="Arial"/>
          <w:sz w:val="20"/>
          <w:szCs w:val="24"/>
        </w:rPr>
        <w:t>Benay Dara-Abrams</w:t>
      </w:r>
      <w:r w:rsidR="00B472AC">
        <w:rPr>
          <w:rFonts w:ascii="Arial" w:hAnsi="Arial"/>
          <w:sz w:val="20"/>
          <w:szCs w:val="24"/>
        </w:rPr>
        <w:t xml:space="preserve">, PhD, CTO, </w:t>
      </w:r>
      <w:hyperlink r:id="rId5" w:history="1">
        <w:r w:rsidR="00B472AC" w:rsidRPr="00B472AC">
          <w:rPr>
            <w:rStyle w:val="Hyperlink"/>
            <w:rFonts w:ascii="Arial" w:hAnsi="Arial"/>
            <w:sz w:val="20"/>
            <w:szCs w:val="24"/>
          </w:rPr>
          <w:t>BrainJolt</w:t>
        </w:r>
      </w:hyperlink>
      <w:r w:rsidR="00B472AC">
        <w:rPr>
          <w:rFonts w:ascii="Arial" w:hAnsi="Arial"/>
          <w:sz w:val="20"/>
          <w:szCs w:val="24"/>
        </w:rPr>
        <w:t>, benay@dara-abrams.com</w:t>
      </w:r>
    </w:p>
    <w:p w:rsidR="00D55837" w:rsidRPr="00CB1914" w:rsidRDefault="00D55837" w:rsidP="00A22121">
      <w:pPr>
        <w:rPr>
          <w:rFonts w:ascii="Arial" w:hAnsi="Arial"/>
          <w:b/>
          <w:sz w:val="20"/>
          <w:szCs w:val="24"/>
        </w:rPr>
      </w:pPr>
      <w:r w:rsidRPr="00CB1914">
        <w:rPr>
          <w:rFonts w:ascii="Arial" w:hAnsi="Arial"/>
          <w:b/>
          <w:sz w:val="20"/>
          <w:szCs w:val="24"/>
        </w:rPr>
        <w:t>Problem</w:t>
      </w:r>
    </w:p>
    <w:p w:rsidR="00517815" w:rsidRPr="00CB1914" w:rsidRDefault="002E6D9A" w:rsidP="00517815">
      <w:pPr>
        <w:rPr>
          <w:rFonts w:ascii="Arial" w:hAnsi="Arial"/>
          <w:sz w:val="20"/>
          <w:szCs w:val="24"/>
        </w:rPr>
      </w:pPr>
      <w:r w:rsidRPr="00CB1914">
        <w:rPr>
          <w:rFonts w:ascii="Arial" w:hAnsi="Arial"/>
          <w:sz w:val="20"/>
          <w:szCs w:val="24"/>
        </w:rPr>
        <w:t>In the U.S. today, more than 40% of adults are suffering from</w:t>
      </w:r>
      <w:r w:rsidR="008B171F" w:rsidRPr="00CB1914">
        <w:rPr>
          <w:rFonts w:ascii="Arial" w:hAnsi="Arial"/>
          <w:sz w:val="20"/>
          <w:szCs w:val="24"/>
        </w:rPr>
        <w:t xml:space="preserve"> two or more chronic medical conditions</w:t>
      </w:r>
      <w:r w:rsidRPr="00CB1914">
        <w:rPr>
          <w:rFonts w:ascii="Arial" w:hAnsi="Arial"/>
          <w:sz w:val="20"/>
          <w:szCs w:val="24"/>
        </w:rPr>
        <w:t>. Primary care practices are treating an increasing number of patients with multiple</w:t>
      </w:r>
      <w:r w:rsidR="003F479F" w:rsidRPr="00CB1914">
        <w:rPr>
          <w:rFonts w:ascii="Arial" w:hAnsi="Arial"/>
          <w:sz w:val="20"/>
          <w:szCs w:val="24"/>
        </w:rPr>
        <w:t xml:space="preserve"> chronic conditions</w:t>
      </w:r>
      <w:r w:rsidRPr="00CB1914">
        <w:rPr>
          <w:rFonts w:ascii="Arial" w:hAnsi="Arial"/>
          <w:sz w:val="20"/>
          <w:szCs w:val="24"/>
        </w:rPr>
        <w:t xml:space="preserve"> as the aging population continues to </w:t>
      </w:r>
      <w:r w:rsidR="003F479F" w:rsidRPr="00CB1914">
        <w:rPr>
          <w:rFonts w:ascii="Arial" w:hAnsi="Arial"/>
          <w:sz w:val="20"/>
          <w:szCs w:val="24"/>
        </w:rPr>
        <w:t xml:space="preserve">grow. This results in spending </w:t>
      </w:r>
      <w:r w:rsidRPr="00CB1914">
        <w:rPr>
          <w:rFonts w:ascii="Arial" w:hAnsi="Arial"/>
          <w:sz w:val="20"/>
          <w:szCs w:val="24"/>
        </w:rPr>
        <w:t>7</w:t>
      </w:r>
      <w:r w:rsidR="003F479F" w:rsidRPr="00CB1914">
        <w:rPr>
          <w:rFonts w:ascii="Arial" w:hAnsi="Arial"/>
          <w:sz w:val="20"/>
          <w:szCs w:val="24"/>
        </w:rPr>
        <w:t xml:space="preserve">1% of U.S. health care dollars on managing </w:t>
      </w:r>
      <w:r w:rsidRPr="00CB1914">
        <w:rPr>
          <w:rFonts w:ascii="Arial" w:hAnsi="Arial"/>
          <w:sz w:val="20"/>
          <w:szCs w:val="24"/>
        </w:rPr>
        <w:t>chronic conditions.</w:t>
      </w:r>
      <w:r w:rsidR="000F3D43" w:rsidRPr="00CB1914">
        <w:rPr>
          <w:rFonts w:ascii="Arial" w:hAnsi="Arial"/>
          <w:sz w:val="20"/>
          <w:szCs w:val="24"/>
        </w:rPr>
        <w:t xml:space="preserve"> While pati</w:t>
      </w:r>
      <w:r w:rsidR="00517815" w:rsidRPr="00CB1914">
        <w:rPr>
          <w:rFonts w:ascii="Arial" w:hAnsi="Arial"/>
          <w:sz w:val="20"/>
          <w:szCs w:val="24"/>
        </w:rPr>
        <w:t xml:space="preserve">ents can appreciate the importance of managing </w:t>
      </w:r>
      <w:r w:rsidR="000F3D43" w:rsidRPr="00CB1914">
        <w:rPr>
          <w:rFonts w:ascii="Arial" w:hAnsi="Arial"/>
          <w:sz w:val="20"/>
          <w:szCs w:val="24"/>
        </w:rPr>
        <w:t>their chronic cond</w:t>
      </w:r>
      <w:r w:rsidR="00517815" w:rsidRPr="00CB1914">
        <w:rPr>
          <w:rFonts w:ascii="Arial" w:hAnsi="Arial"/>
          <w:sz w:val="20"/>
          <w:szCs w:val="24"/>
        </w:rPr>
        <w:t>ition</w:t>
      </w:r>
      <w:r w:rsidR="00BD309D">
        <w:rPr>
          <w:rFonts w:ascii="Arial" w:hAnsi="Arial"/>
          <w:sz w:val="20"/>
          <w:szCs w:val="24"/>
        </w:rPr>
        <w:t>s, they may</w:t>
      </w:r>
      <w:r w:rsidR="00517815" w:rsidRPr="00CB1914">
        <w:rPr>
          <w:rFonts w:ascii="Arial" w:hAnsi="Arial"/>
          <w:sz w:val="20"/>
          <w:szCs w:val="24"/>
        </w:rPr>
        <w:t xml:space="preserve"> be overwhelmed by the challenge</w:t>
      </w:r>
      <w:r w:rsidR="00CB1914" w:rsidRPr="00CB1914">
        <w:rPr>
          <w:rFonts w:ascii="Arial" w:hAnsi="Arial"/>
          <w:sz w:val="20"/>
          <w:szCs w:val="24"/>
        </w:rPr>
        <w:t>s</w:t>
      </w:r>
      <w:r w:rsidR="00BD309D">
        <w:rPr>
          <w:rFonts w:ascii="Arial" w:hAnsi="Arial"/>
          <w:sz w:val="20"/>
          <w:szCs w:val="24"/>
        </w:rPr>
        <w:t xml:space="preserve"> of adhering</w:t>
      </w:r>
      <w:r w:rsidR="00517815" w:rsidRPr="00CB1914">
        <w:rPr>
          <w:rFonts w:ascii="Arial" w:hAnsi="Arial"/>
          <w:sz w:val="20"/>
          <w:szCs w:val="24"/>
        </w:rPr>
        <w:t xml:space="preserve"> to a complex medic</w:t>
      </w:r>
      <w:r w:rsidR="00BD309D">
        <w:rPr>
          <w:rFonts w:ascii="Arial" w:hAnsi="Arial"/>
          <w:sz w:val="20"/>
          <w:szCs w:val="24"/>
        </w:rPr>
        <w:t>ation regime</w:t>
      </w:r>
      <w:r w:rsidR="00D0264B">
        <w:rPr>
          <w:rFonts w:ascii="Arial" w:hAnsi="Arial"/>
          <w:sz w:val="20"/>
          <w:szCs w:val="24"/>
        </w:rPr>
        <w:t>n</w:t>
      </w:r>
      <w:r w:rsidR="00BD309D">
        <w:rPr>
          <w:rFonts w:ascii="Arial" w:hAnsi="Arial"/>
          <w:sz w:val="20"/>
          <w:szCs w:val="24"/>
        </w:rPr>
        <w:t xml:space="preserve"> while trying to stick to good health habits like exercising and eating a healthy diet.</w:t>
      </w:r>
    </w:p>
    <w:p w:rsidR="00C653A1" w:rsidRDefault="00C653A1" w:rsidP="00FB1B61">
      <w:pPr>
        <w:pStyle w:val="NormalWeb"/>
        <w:shd w:val="clear" w:color="auto" w:fill="FFFFFF"/>
        <w:spacing w:before="0" w:beforeAutospacing="0" w:after="150" w:afterAutospacing="0"/>
        <w:rPr>
          <w:rFonts w:ascii="Arial" w:hAnsi="Arial" w:cs="Arial"/>
          <w:color w:val="333333"/>
          <w:sz w:val="20"/>
          <w:szCs w:val="20"/>
        </w:rPr>
      </w:pPr>
      <w:r w:rsidRPr="00CB1914">
        <w:rPr>
          <w:rFonts w:ascii="Arial" w:hAnsi="Arial" w:cs="Arial"/>
          <w:b/>
          <w:color w:val="333333"/>
          <w:sz w:val="20"/>
          <w:szCs w:val="20"/>
        </w:rPr>
        <w:t>Monitoring</w:t>
      </w:r>
      <w:r w:rsidR="008B171F" w:rsidRPr="00CB1914">
        <w:rPr>
          <w:rFonts w:ascii="Arial" w:hAnsi="Arial" w:cs="Arial"/>
          <w:b/>
          <w:color w:val="333333"/>
          <w:sz w:val="20"/>
          <w:szCs w:val="20"/>
        </w:rPr>
        <w:t xml:space="preserve"> Chronic Conditions</w:t>
      </w:r>
    </w:p>
    <w:p w:rsidR="00285AF8" w:rsidRPr="00FB1B61" w:rsidRDefault="00285AF8" w:rsidP="00FB1B61">
      <w:pPr>
        <w:pStyle w:val="NormalWeb"/>
        <w:shd w:val="clear" w:color="auto" w:fill="FFFFFF"/>
        <w:spacing w:before="0" w:beforeAutospacing="0" w:after="150" w:afterAutospacing="0"/>
        <w:rPr>
          <w:rFonts w:ascii="Arial" w:hAnsi="Arial" w:cs="Arial"/>
          <w:b/>
          <w:color w:val="333333"/>
          <w:sz w:val="20"/>
          <w:szCs w:val="20"/>
        </w:rPr>
      </w:pPr>
      <w:r>
        <w:rPr>
          <w:rFonts w:ascii="Arial" w:hAnsi="Arial" w:cs="Arial"/>
          <w:color w:val="333333"/>
          <w:sz w:val="20"/>
          <w:szCs w:val="20"/>
        </w:rPr>
        <w:t>To improve monitoring and self-management of chronic conditions, patient-reported outcomes (PROs) can be recorded in real time between office visits. This information provides a more complete and accurate view of the patient’s current health status than self-reports based on patient recall during an office visit. With a better understanding of the patient’s current health situation, PROs help patients work with their physicians to monitor and better manage their chronic conditions.</w:t>
      </w:r>
    </w:p>
    <w:p w:rsidR="00F646F2" w:rsidRPr="00CB1914" w:rsidRDefault="00F646F2" w:rsidP="00F646F2">
      <w:pPr>
        <w:rPr>
          <w:rFonts w:ascii="Arial" w:hAnsi="Arial"/>
          <w:b/>
          <w:sz w:val="20"/>
          <w:szCs w:val="24"/>
        </w:rPr>
      </w:pPr>
      <w:r w:rsidRPr="00CB1914">
        <w:rPr>
          <w:rFonts w:ascii="Arial" w:hAnsi="Arial"/>
          <w:b/>
          <w:sz w:val="20"/>
          <w:szCs w:val="24"/>
        </w:rPr>
        <w:t xml:space="preserve">Open </w:t>
      </w:r>
      <w:proofErr w:type="spellStart"/>
      <w:r w:rsidRPr="00CB1914">
        <w:rPr>
          <w:rFonts w:ascii="Arial" w:hAnsi="Arial"/>
          <w:b/>
          <w:sz w:val="20"/>
          <w:szCs w:val="24"/>
        </w:rPr>
        <w:t>mHealth</w:t>
      </w:r>
      <w:proofErr w:type="spellEnd"/>
      <w:r w:rsidR="00B8289D" w:rsidRPr="00CB1914">
        <w:rPr>
          <w:rFonts w:ascii="Arial" w:hAnsi="Arial"/>
          <w:b/>
          <w:sz w:val="20"/>
          <w:szCs w:val="24"/>
        </w:rPr>
        <w:t xml:space="preserve"> and IEEE P1752 Standard for Mobile Health Data</w:t>
      </w:r>
    </w:p>
    <w:p w:rsidR="00F646F2" w:rsidRPr="00A54671" w:rsidRDefault="00E65DD5" w:rsidP="00A54671">
      <w:pPr>
        <w:rPr>
          <w:rFonts w:ascii="Arial" w:hAnsi="Arial"/>
          <w:sz w:val="20"/>
          <w:szCs w:val="24"/>
        </w:rPr>
      </w:pPr>
      <w:r w:rsidRPr="00CB1914">
        <w:rPr>
          <w:rFonts w:ascii="Arial" w:eastAsia="Times New Roman" w:hAnsi="Arial" w:cs="Times New Roman"/>
          <w:color w:val="4A4A4A"/>
          <w:sz w:val="20"/>
          <w:szCs w:val="24"/>
        </w:rPr>
        <w:t>Believing that no single app or de</w:t>
      </w:r>
      <w:r w:rsidR="00A54671">
        <w:rPr>
          <w:rFonts w:ascii="Arial" w:eastAsia="Times New Roman" w:hAnsi="Arial" w:cs="Times New Roman"/>
          <w:color w:val="4A4A4A"/>
          <w:sz w:val="20"/>
          <w:szCs w:val="24"/>
        </w:rPr>
        <w:t xml:space="preserve">vice </w:t>
      </w:r>
      <w:r w:rsidRPr="00CB1914">
        <w:rPr>
          <w:rFonts w:ascii="Arial" w:eastAsia="Times New Roman" w:hAnsi="Arial" w:cs="Times New Roman"/>
          <w:color w:val="4A4A4A"/>
          <w:sz w:val="20"/>
          <w:szCs w:val="24"/>
        </w:rPr>
        <w:t>provide</w:t>
      </w:r>
      <w:r w:rsidR="00A54671">
        <w:rPr>
          <w:rFonts w:ascii="Arial" w:eastAsia="Times New Roman" w:hAnsi="Arial" w:cs="Times New Roman"/>
          <w:color w:val="4A4A4A"/>
          <w:sz w:val="20"/>
          <w:szCs w:val="24"/>
        </w:rPr>
        <w:t>s</w:t>
      </w:r>
      <w:r w:rsidRPr="00CB1914">
        <w:rPr>
          <w:rFonts w:ascii="Arial" w:eastAsia="Times New Roman" w:hAnsi="Arial" w:cs="Times New Roman"/>
          <w:color w:val="4A4A4A"/>
          <w:sz w:val="20"/>
          <w:szCs w:val="24"/>
        </w:rPr>
        <w:t xml:space="preserve"> all the information for an individual’s health story, </w:t>
      </w:r>
      <w:r w:rsidR="00037596" w:rsidRPr="00CB1914">
        <w:rPr>
          <w:rFonts w:ascii="Arial" w:hAnsi="Arial"/>
          <w:sz w:val="20"/>
          <w:szCs w:val="24"/>
        </w:rPr>
        <w:t xml:space="preserve">Open </w:t>
      </w:r>
      <w:proofErr w:type="spellStart"/>
      <w:r w:rsidR="00037596" w:rsidRPr="00CB1914">
        <w:rPr>
          <w:rFonts w:ascii="Arial" w:hAnsi="Arial"/>
          <w:sz w:val="20"/>
          <w:szCs w:val="24"/>
        </w:rPr>
        <w:t>mHealth</w:t>
      </w:r>
      <w:proofErr w:type="spellEnd"/>
      <w:r w:rsidR="00A54671">
        <w:rPr>
          <w:rFonts w:ascii="Arial" w:hAnsi="Arial"/>
          <w:sz w:val="20"/>
          <w:szCs w:val="24"/>
        </w:rPr>
        <w:t xml:space="preserve"> plans</w:t>
      </w:r>
      <w:r w:rsidR="00037596" w:rsidRPr="00CB1914">
        <w:rPr>
          <w:rFonts w:ascii="Arial" w:hAnsi="Arial"/>
          <w:sz w:val="20"/>
          <w:szCs w:val="24"/>
        </w:rPr>
        <w:t xml:space="preserve"> to make</w:t>
      </w:r>
      <w:r w:rsidR="00037596" w:rsidRPr="00CB1914">
        <w:rPr>
          <w:rFonts w:ascii="Arial" w:eastAsia="Times New Roman" w:hAnsi="Arial" w:cs="Times New Roman"/>
          <w:color w:val="4A4A4A"/>
          <w:sz w:val="20"/>
          <w:szCs w:val="24"/>
        </w:rPr>
        <w:t xml:space="preserve"> patient-generated data from disparate s</w:t>
      </w:r>
      <w:r w:rsidR="00F646F2" w:rsidRPr="00CB1914">
        <w:rPr>
          <w:rFonts w:ascii="Arial" w:eastAsia="Times New Roman" w:hAnsi="Arial" w:cs="Times New Roman"/>
          <w:color w:val="4A4A4A"/>
          <w:sz w:val="20"/>
          <w:szCs w:val="24"/>
        </w:rPr>
        <w:t>ources accessible</w:t>
      </w:r>
      <w:r w:rsidR="00A54671">
        <w:rPr>
          <w:rFonts w:ascii="Arial" w:eastAsia="Times New Roman" w:hAnsi="Arial" w:cs="Times New Roman"/>
          <w:color w:val="4A4A4A"/>
          <w:sz w:val="20"/>
          <w:szCs w:val="24"/>
        </w:rPr>
        <w:t xml:space="preserve"> and </w:t>
      </w:r>
      <w:r w:rsidR="00A705E3">
        <w:rPr>
          <w:rFonts w:ascii="Arial" w:eastAsia="Times New Roman" w:hAnsi="Arial" w:cs="Times New Roman"/>
          <w:color w:val="4A4A4A"/>
          <w:sz w:val="20"/>
          <w:szCs w:val="24"/>
        </w:rPr>
        <w:t xml:space="preserve">to </w:t>
      </w:r>
      <w:r w:rsidR="00A54671">
        <w:rPr>
          <w:rFonts w:ascii="Arial" w:eastAsia="Times New Roman" w:hAnsi="Arial" w:cs="Times New Roman"/>
          <w:color w:val="4A4A4A"/>
          <w:sz w:val="20"/>
          <w:szCs w:val="24"/>
        </w:rPr>
        <w:t>provide an interoperabilit</w:t>
      </w:r>
      <w:r w:rsidR="00A705E3">
        <w:rPr>
          <w:rFonts w:ascii="Arial" w:eastAsia="Times New Roman" w:hAnsi="Arial" w:cs="Times New Roman"/>
          <w:color w:val="4A4A4A"/>
          <w:sz w:val="20"/>
          <w:szCs w:val="24"/>
        </w:rPr>
        <w:t>y standard for harmonizing</w:t>
      </w:r>
      <w:r w:rsidR="00A54671">
        <w:rPr>
          <w:rFonts w:ascii="Arial" w:eastAsia="Times New Roman" w:hAnsi="Arial" w:cs="Times New Roman"/>
          <w:color w:val="4A4A4A"/>
          <w:sz w:val="20"/>
          <w:szCs w:val="24"/>
        </w:rPr>
        <w:t xml:space="preserve"> and help</w:t>
      </w:r>
      <w:r w:rsidR="00A705E3">
        <w:rPr>
          <w:rFonts w:ascii="Arial" w:eastAsia="Times New Roman" w:hAnsi="Arial" w:cs="Times New Roman"/>
          <w:color w:val="4A4A4A"/>
          <w:sz w:val="20"/>
          <w:szCs w:val="24"/>
        </w:rPr>
        <w:t>ing to</w:t>
      </w:r>
      <w:r w:rsidR="00A54671">
        <w:rPr>
          <w:rFonts w:ascii="Arial" w:eastAsia="Times New Roman" w:hAnsi="Arial" w:cs="Times New Roman"/>
          <w:color w:val="4A4A4A"/>
          <w:sz w:val="20"/>
          <w:szCs w:val="24"/>
        </w:rPr>
        <w:t xml:space="preserve"> make sense of digital health data. A working group</w:t>
      </w:r>
      <w:r w:rsidRPr="00CB1914">
        <w:rPr>
          <w:rFonts w:ascii="Arial" w:eastAsia="Times New Roman" w:hAnsi="Arial" w:cs="Times New Roman"/>
          <w:color w:val="4A4A4A"/>
          <w:sz w:val="20"/>
          <w:szCs w:val="24"/>
        </w:rPr>
        <w:t xml:space="preserve"> is </w:t>
      </w:r>
      <w:r w:rsidR="00A54671">
        <w:rPr>
          <w:rFonts w:ascii="Arial" w:eastAsia="Times New Roman" w:hAnsi="Arial" w:cs="Times New Roman"/>
          <w:color w:val="4A4A4A"/>
          <w:sz w:val="20"/>
          <w:szCs w:val="24"/>
        </w:rPr>
        <w:t xml:space="preserve">currently </w:t>
      </w:r>
      <w:r w:rsidRPr="00CB1914">
        <w:rPr>
          <w:rFonts w:ascii="Arial" w:eastAsia="Times New Roman" w:hAnsi="Arial" w:cs="Times New Roman"/>
          <w:color w:val="4A4A4A"/>
          <w:sz w:val="20"/>
          <w:szCs w:val="24"/>
        </w:rPr>
        <w:t xml:space="preserve">developing </w:t>
      </w:r>
      <w:r w:rsidR="00A54671">
        <w:rPr>
          <w:rFonts w:ascii="Arial" w:eastAsia="Times New Roman" w:hAnsi="Arial" w:cs="Times New Roman"/>
          <w:color w:val="4A4A4A"/>
          <w:sz w:val="20"/>
          <w:szCs w:val="24"/>
        </w:rPr>
        <w:t xml:space="preserve">the IEEE P1752 Standard for Mobile Health Data, </w:t>
      </w:r>
      <w:r w:rsidR="00EC010D" w:rsidRPr="00CB1914">
        <w:rPr>
          <w:rFonts w:ascii="Arial" w:eastAsia="Times New Roman" w:hAnsi="Arial" w:cs="Times New Roman"/>
          <w:color w:val="333333"/>
          <w:sz w:val="20"/>
          <w:szCs w:val="21"/>
        </w:rPr>
        <w:t>with the scope and purpose described below. (Note: I recently joined the working group).</w:t>
      </w:r>
    </w:p>
    <w:p w:rsidR="00817657" w:rsidRPr="00CB1914" w:rsidRDefault="00F646F2" w:rsidP="00817657">
      <w:pPr>
        <w:shd w:val="clear" w:color="auto" w:fill="FFFFFF"/>
        <w:spacing w:after="150" w:line="240" w:lineRule="auto"/>
        <w:rPr>
          <w:rFonts w:ascii="Arial" w:eastAsia="Times New Roman" w:hAnsi="Arial" w:cs="Times New Roman"/>
          <w:color w:val="333333"/>
          <w:sz w:val="20"/>
          <w:szCs w:val="21"/>
        </w:rPr>
      </w:pPr>
      <w:r w:rsidRPr="00CB1914">
        <w:rPr>
          <w:rFonts w:ascii="Arial" w:eastAsia="Times New Roman" w:hAnsi="Arial" w:cs="Times New Roman"/>
          <w:color w:val="333333"/>
          <w:sz w:val="20"/>
          <w:szCs w:val="21"/>
        </w:rPr>
        <w:t>“</w:t>
      </w:r>
      <w:r w:rsidR="00817657" w:rsidRPr="00CB1914">
        <w:rPr>
          <w:rFonts w:ascii="Arial" w:eastAsia="Times New Roman" w:hAnsi="Arial" w:cs="Times New Roman"/>
          <w:bCs/>
          <w:color w:val="333333"/>
          <w:sz w:val="20"/>
          <w:szCs w:val="21"/>
        </w:rPr>
        <w:t>Scope:  This standard will define specifications for a mobile health data applications programming interface (API) and standardized representations for mobile health data and metadata. Mobile health data encompasses personal health data collected from sensors and mobile applications.</w:t>
      </w:r>
      <w:r w:rsidRPr="00CB1914">
        <w:rPr>
          <w:rFonts w:ascii="Arial" w:eastAsia="Times New Roman" w:hAnsi="Arial" w:cs="Times New Roman"/>
          <w:bCs/>
          <w:color w:val="333333"/>
          <w:sz w:val="20"/>
          <w:szCs w:val="21"/>
        </w:rPr>
        <w:t>”</w:t>
      </w:r>
    </w:p>
    <w:p w:rsidR="00817657" w:rsidRPr="00CB1914" w:rsidRDefault="00F646F2" w:rsidP="00B8289D">
      <w:pPr>
        <w:shd w:val="clear" w:color="auto" w:fill="FFFFFF"/>
        <w:spacing w:before="100" w:beforeAutospacing="1" w:after="100" w:afterAutospacing="1" w:line="240" w:lineRule="auto"/>
        <w:rPr>
          <w:rFonts w:ascii="Arial" w:eastAsia="Times New Roman" w:hAnsi="Arial" w:cs="Times New Roman"/>
          <w:color w:val="333333"/>
          <w:sz w:val="20"/>
          <w:szCs w:val="21"/>
        </w:rPr>
      </w:pPr>
      <w:r w:rsidRPr="00CB1914">
        <w:rPr>
          <w:rFonts w:ascii="Arial" w:eastAsia="Times New Roman" w:hAnsi="Arial" w:cs="Times New Roman"/>
          <w:bCs/>
          <w:color w:val="333333"/>
          <w:sz w:val="20"/>
          <w:szCs w:val="21"/>
        </w:rPr>
        <w:t>“</w:t>
      </w:r>
      <w:r w:rsidR="00817657" w:rsidRPr="00CB1914">
        <w:rPr>
          <w:rFonts w:ascii="Arial" w:eastAsia="Times New Roman" w:hAnsi="Arial" w:cs="Times New Roman"/>
          <w:bCs/>
          <w:color w:val="333333"/>
          <w:sz w:val="20"/>
          <w:szCs w:val="21"/>
        </w:rPr>
        <w:t>Purpose: </w:t>
      </w:r>
      <w:r w:rsidR="00817657" w:rsidRPr="00CB1914">
        <w:rPr>
          <w:rFonts w:ascii="Arial" w:eastAsia="Times New Roman" w:hAnsi="Arial" w:cs="Times New Roman"/>
          <w:color w:val="333333"/>
          <w:sz w:val="20"/>
          <w:szCs w:val="21"/>
        </w:rPr>
        <w:t>The purpose is to provide standard semantics to enable meaningful description, exchange, sharing, and use of mobile health data. Data and associated metadata will be sufficiently clear and complete to support analysis for a set of consumer health, biomedical research, and clinical care needs.</w:t>
      </w:r>
      <w:r w:rsidRPr="00CB1914">
        <w:rPr>
          <w:rFonts w:ascii="Arial" w:eastAsia="Times New Roman" w:hAnsi="Arial" w:cs="Times New Roman"/>
          <w:color w:val="333333"/>
          <w:sz w:val="20"/>
          <w:szCs w:val="21"/>
        </w:rPr>
        <w:t>”</w:t>
      </w:r>
    </w:p>
    <w:p w:rsidR="002C676E" w:rsidRPr="00CB1914" w:rsidRDefault="00F646F2" w:rsidP="007E6B94">
      <w:pPr>
        <w:spacing w:after="150" w:line="240" w:lineRule="auto"/>
        <w:rPr>
          <w:rFonts w:ascii="Arial" w:eastAsia="Times New Roman" w:hAnsi="Arial" w:cs="Times New Roman"/>
          <w:b/>
          <w:color w:val="333333"/>
          <w:sz w:val="20"/>
          <w:szCs w:val="21"/>
        </w:rPr>
      </w:pPr>
      <w:r w:rsidRPr="00CB1914">
        <w:rPr>
          <w:rFonts w:ascii="Arial" w:eastAsia="Times New Roman" w:hAnsi="Arial" w:cs="Times New Roman"/>
          <w:b/>
          <w:color w:val="333333"/>
          <w:sz w:val="20"/>
          <w:szCs w:val="21"/>
        </w:rPr>
        <w:t>Protecting Personal Health D</w:t>
      </w:r>
      <w:r w:rsidR="002C676E" w:rsidRPr="00CB1914">
        <w:rPr>
          <w:rFonts w:ascii="Arial" w:eastAsia="Times New Roman" w:hAnsi="Arial" w:cs="Times New Roman"/>
          <w:b/>
          <w:color w:val="333333"/>
          <w:sz w:val="20"/>
          <w:szCs w:val="21"/>
        </w:rPr>
        <w:t>ata</w:t>
      </w:r>
    </w:p>
    <w:p w:rsidR="00D36E05" w:rsidRDefault="002C676E" w:rsidP="007E6B94">
      <w:pPr>
        <w:spacing w:after="150" w:line="240" w:lineRule="auto"/>
        <w:rPr>
          <w:rFonts w:ascii="Arial" w:eastAsia="Times New Roman" w:hAnsi="Arial" w:cs="Times New Roman"/>
          <w:color w:val="333333"/>
          <w:sz w:val="20"/>
          <w:szCs w:val="21"/>
        </w:rPr>
      </w:pPr>
      <w:r w:rsidRPr="00CB1914">
        <w:rPr>
          <w:rFonts w:ascii="Arial" w:eastAsia="Times New Roman" w:hAnsi="Arial" w:cs="Times New Roman"/>
          <w:color w:val="333333"/>
          <w:sz w:val="20"/>
          <w:szCs w:val="21"/>
        </w:rPr>
        <w:t>Since each person’s health story inc</w:t>
      </w:r>
      <w:r w:rsidR="00D463F5" w:rsidRPr="00CB1914">
        <w:rPr>
          <w:rFonts w:ascii="Arial" w:eastAsia="Times New Roman" w:hAnsi="Arial" w:cs="Times New Roman"/>
          <w:color w:val="333333"/>
          <w:sz w:val="20"/>
          <w:szCs w:val="21"/>
        </w:rPr>
        <w:t>l</w:t>
      </w:r>
      <w:r w:rsidRPr="00CB1914">
        <w:rPr>
          <w:rFonts w:ascii="Arial" w:eastAsia="Times New Roman" w:hAnsi="Arial" w:cs="Times New Roman"/>
          <w:color w:val="333333"/>
          <w:sz w:val="20"/>
          <w:szCs w:val="21"/>
        </w:rPr>
        <w:t xml:space="preserve">udes data from different sources, </w:t>
      </w:r>
      <w:r w:rsidR="00D463F5" w:rsidRPr="00CB1914">
        <w:rPr>
          <w:rFonts w:ascii="Arial" w:eastAsia="Times New Roman" w:hAnsi="Arial" w:cs="Times New Roman"/>
          <w:color w:val="333333"/>
          <w:sz w:val="20"/>
          <w:szCs w:val="21"/>
        </w:rPr>
        <w:t xml:space="preserve">each source of </w:t>
      </w:r>
      <w:r w:rsidRPr="00CB1914">
        <w:rPr>
          <w:rFonts w:ascii="Arial" w:eastAsia="Times New Roman" w:hAnsi="Arial" w:cs="Times New Roman"/>
          <w:color w:val="333333"/>
          <w:sz w:val="20"/>
          <w:szCs w:val="21"/>
        </w:rPr>
        <w:t>data needs to be identified a</w:t>
      </w:r>
      <w:r w:rsidR="003C2019">
        <w:rPr>
          <w:rFonts w:ascii="Arial" w:eastAsia="Times New Roman" w:hAnsi="Arial" w:cs="Times New Roman"/>
          <w:color w:val="333333"/>
          <w:sz w:val="20"/>
          <w:szCs w:val="21"/>
        </w:rPr>
        <w:t>s pertaining to a particular individual while protecting</w:t>
      </w:r>
      <w:r w:rsidRPr="00CB1914">
        <w:rPr>
          <w:rFonts w:ascii="Arial" w:eastAsia="Times New Roman" w:hAnsi="Arial" w:cs="Times New Roman"/>
          <w:color w:val="333333"/>
          <w:sz w:val="20"/>
          <w:szCs w:val="21"/>
        </w:rPr>
        <w:t xml:space="preserve"> the individual</w:t>
      </w:r>
      <w:r w:rsidR="003C2019">
        <w:rPr>
          <w:rFonts w:ascii="Arial" w:eastAsia="Times New Roman" w:hAnsi="Arial" w:cs="Times New Roman"/>
          <w:color w:val="333333"/>
          <w:sz w:val="20"/>
          <w:szCs w:val="21"/>
        </w:rPr>
        <w:t>’s</w:t>
      </w:r>
      <w:r w:rsidRPr="00CB1914">
        <w:rPr>
          <w:rFonts w:ascii="Arial" w:eastAsia="Times New Roman" w:hAnsi="Arial" w:cs="Times New Roman"/>
          <w:color w:val="333333"/>
          <w:sz w:val="20"/>
          <w:szCs w:val="21"/>
        </w:rPr>
        <w:t xml:space="preserve"> Personal Information (PI), Personally Identifiable Information (PII),</w:t>
      </w:r>
      <w:r w:rsidR="00A705E3">
        <w:rPr>
          <w:rFonts w:ascii="Arial" w:eastAsia="Times New Roman" w:hAnsi="Arial" w:cs="Times New Roman"/>
          <w:color w:val="333333"/>
          <w:sz w:val="20"/>
          <w:szCs w:val="21"/>
        </w:rPr>
        <w:t xml:space="preserve"> and </w:t>
      </w:r>
      <w:r w:rsidR="00D36E05" w:rsidRPr="00CB1914">
        <w:rPr>
          <w:rFonts w:ascii="Arial" w:eastAsia="Times New Roman" w:hAnsi="Arial" w:cs="Times New Roman"/>
          <w:color w:val="333333"/>
          <w:sz w:val="20"/>
          <w:szCs w:val="21"/>
        </w:rPr>
        <w:t>Pro</w:t>
      </w:r>
      <w:r w:rsidR="00A705E3">
        <w:rPr>
          <w:rFonts w:ascii="Arial" w:eastAsia="Times New Roman" w:hAnsi="Arial" w:cs="Times New Roman"/>
          <w:color w:val="333333"/>
          <w:sz w:val="20"/>
          <w:szCs w:val="21"/>
        </w:rPr>
        <w:t>tected Heath Information (PHI).</w:t>
      </w:r>
    </w:p>
    <w:p w:rsidR="009C2B13" w:rsidRPr="00CB1914" w:rsidRDefault="009C2B13" w:rsidP="007E6B94">
      <w:pPr>
        <w:spacing w:after="150" w:line="240" w:lineRule="auto"/>
        <w:rPr>
          <w:rFonts w:ascii="Arial" w:eastAsia="Times New Roman" w:hAnsi="Arial" w:cs="Times New Roman"/>
          <w:color w:val="333333"/>
          <w:sz w:val="20"/>
          <w:szCs w:val="21"/>
        </w:rPr>
      </w:pPr>
      <w:r>
        <w:rPr>
          <w:rFonts w:ascii="Arial" w:eastAsia="Times New Roman" w:hAnsi="Arial" w:cs="Times New Roman"/>
          <w:color w:val="333333"/>
          <w:sz w:val="20"/>
          <w:szCs w:val="21"/>
        </w:rPr>
        <w:t>Privacy standards and guidelines mentioned by the IEEE P1752 working group include:</w:t>
      </w:r>
    </w:p>
    <w:p w:rsidR="00AF2913" w:rsidRPr="00AF2913" w:rsidRDefault="00071CD5" w:rsidP="00AF2913">
      <w:pPr>
        <w:pStyle w:val="ListParagraph"/>
        <w:numPr>
          <w:ilvl w:val="0"/>
          <w:numId w:val="24"/>
        </w:numPr>
        <w:shd w:val="clear" w:color="auto" w:fill="FFFFFF"/>
        <w:spacing w:after="0" w:line="200" w:lineRule="atLeast"/>
        <w:rPr>
          <w:rFonts w:ascii="Arial" w:eastAsia="Times New Roman" w:hAnsi="Arial" w:cs="Times New Roman"/>
          <w:color w:val="333333"/>
          <w:sz w:val="20"/>
          <w:szCs w:val="18"/>
        </w:rPr>
      </w:pPr>
      <w:r w:rsidRPr="00AF2913">
        <w:rPr>
          <w:rFonts w:ascii="Arial" w:eastAsia="Times New Roman" w:hAnsi="Arial" w:cs="Times New Roman"/>
          <w:b/>
          <w:color w:val="333333"/>
          <w:sz w:val="20"/>
          <w:szCs w:val="21"/>
        </w:rPr>
        <w:t>HL7 FHIR (Fast Healthcare Interoperability Resources) Release 4</w:t>
      </w:r>
      <w:r w:rsidR="00D36E05" w:rsidRPr="00AF2913">
        <w:rPr>
          <w:rFonts w:ascii="Arial" w:eastAsia="Times New Roman" w:hAnsi="Arial" w:cs="Times New Roman"/>
          <w:color w:val="333333"/>
          <w:sz w:val="20"/>
          <w:szCs w:val="21"/>
        </w:rPr>
        <w:t xml:space="preserve"> is</w:t>
      </w:r>
      <w:r w:rsidR="00825E76" w:rsidRPr="00AF2913">
        <w:rPr>
          <w:rFonts w:ascii="Arial" w:eastAsia="Times New Roman" w:hAnsi="Arial" w:cs="Times New Roman"/>
          <w:color w:val="333333"/>
          <w:sz w:val="20"/>
          <w:szCs w:val="21"/>
        </w:rPr>
        <w:t xml:space="preserve"> </w:t>
      </w:r>
      <w:r w:rsidRPr="00AF2913">
        <w:rPr>
          <w:rFonts w:ascii="Arial" w:hAnsi="Arial"/>
          <w:color w:val="333333"/>
          <w:sz w:val="20"/>
          <w:szCs w:val="18"/>
          <w:shd w:val="clear" w:color="auto" w:fill="FFFFFF"/>
        </w:rPr>
        <w:t>a standard for exchanging healthcare information electronically</w:t>
      </w:r>
      <w:r w:rsidR="00825E76" w:rsidRPr="00AF2913">
        <w:rPr>
          <w:rFonts w:ascii="Arial" w:hAnsi="Arial"/>
          <w:color w:val="333333"/>
          <w:sz w:val="20"/>
          <w:szCs w:val="18"/>
          <w:shd w:val="clear" w:color="auto" w:fill="FFFFFF"/>
        </w:rPr>
        <w:t>. The standard includes</w:t>
      </w:r>
      <w:r w:rsidR="004F02C8" w:rsidRPr="00AF2913">
        <w:rPr>
          <w:rFonts w:ascii="Arial" w:eastAsia="Times New Roman" w:hAnsi="Arial" w:cs="Times New Roman"/>
          <w:color w:val="333333"/>
          <w:sz w:val="20"/>
          <w:szCs w:val="18"/>
        </w:rPr>
        <w:t xml:space="preserve"> a Security &amp; Privacy module</w:t>
      </w:r>
      <w:r w:rsidR="00825E76" w:rsidRPr="00AF2913">
        <w:rPr>
          <w:rFonts w:ascii="Arial" w:eastAsia="Times New Roman" w:hAnsi="Arial" w:cs="Times New Roman"/>
          <w:color w:val="333333"/>
          <w:sz w:val="20"/>
          <w:szCs w:val="18"/>
        </w:rPr>
        <w:t xml:space="preserve">, which </w:t>
      </w:r>
      <w:r w:rsidR="00502651" w:rsidRPr="00AF2913">
        <w:rPr>
          <w:rFonts w:ascii="Arial" w:eastAsia="Times New Roman" w:hAnsi="Arial" w:cs="Times New Roman"/>
          <w:color w:val="333333"/>
          <w:sz w:val="20"/>
          <w:szCs w:val="18"/>
        </w:rPr>
        <w:t xml:space="preserve">describes </w:t>
      </w:r>
      <w:r w:rsidR="00825E76" w:rsidRPr="00AF2913">
        <w:rPr>
          <w:rFonts w:ascii="Arial" w:eastAsia="Times New Roman" w:hAnsi="Arial" w:cs="Times New Roman"/>
          <w:color w:val="333333"/>
          <w:sz w:val="20"/>
          <w:szCs w:val="18"/>
        </w:rPr>
        <w:t xml:space="preserve">access control and authorization </w:t>
      </w:r>
      <w:r w:rsidR="00502651" w:rsidRPr="00AF2913">
        <w:rPr>
          <w:rFonts w:ascii="Arial" w:eastAsia="Times New Roman" w:hAnsi="Arial" w:cs="Times New Roman"/>
          <w:color w:val="333333"/>
          <w:sz w:val="20"/>
          <w:szCs w:val="18"/>
        </w:rPr>
        <w:t xml:space="preserve">to </w:t>
      </w:r>
      <w:r w:rsidR="00825E76" w:rsidRPr="00AF2913">
        <w:rPr>
          <w:rFonts w:ascii="Arial" w:eastAsia="Times New Roman" w:hAnsi="Arial" w:cs="Times New Roman"/>
          <w:color w:val="333333"/>
          <w:sz w:val="20"/>
          <w:szCs w:val="18"/>
        </w:rPr>
        <w:t>protect a FHIR server</w:t>
      </w:r>
      <w:r w:rsidR="00502651" w:rsidRPr="00AF2913">
        <w:rPr>
          <w:rFonts w:ascii="Arial" w:eastAsia="Times New Roman" w:hAnsi="Arial" w:cs="Times New Roman"/>
          <w:color w:val="333333"/>
          <w:sz w:val="20"/>
          <w:szCs w:val="18"/>
        </w:rPr>
        <w:t xml:space="preserve">, </w:t>
      </w:r>
      <w:r w:rsidR="00825E76" w:rsidRPr="00AF2913">
        <w:rPr>
          <w:rFonts w:ascii="Arial" w:eastAsia="Times New Roman" w:hAnsi="Arial" w:cs="Times New Roman"/>
          <w:color w:val="333333"/>
          <w:sz w:val="20"/>
          <w:szCs w:val="18"/>
        </w:rPr>
        <w:t>consent documenting the</w:t>
      </w:r>
      <w:r w:rsidR="00502651" w:rsidRPr="00AF2913">
        <w:rPr>
          <w:rFonts w:ascii="Arial" w:eastAsia="Times New Roman" w:hAnsi="Arial" w:cs="Times New Roman"/>
          <w:color w:val="333333"/>
          <w:sz w:val="20"/>
          <w:szCs w:val="18"/>
        </w:rPr>
        <w:t xml:space="preserve"> permissi</w:t>
      </w:r>
      <w:r w:rsidR="00825E76" w:rsidRPr="00AF2913">
        <w:rPr>
          <w:rFonts w:ascii="Arial" w:eastAsia="Times New Roman" w:hAnsi="Arial" w:cs="Times New Roman"/>
          <w:color w:val="333333"/>
          <w:sz w:val="20"/>
          <w:szCs w:val="18"/>
        </w:rPr>
        <w:t>ons a user has granted</w:t>
      </w:r>
      <w:r w:rsidR="00502651" w:rsidRPr="00AF2913">
        <w:rPr>
          <w:rFonts w:ascii="Arial" w:eastAsia="Times New Roman" w:hAnsi="Arial" w:cs="Times New Roman"/>
          <w:color w:val="333333"/>
          <w:sz w:val="20"/>
          <w:szCs w:val="18"/>
        </w:rPr>
        <w:t>, and</w:t>
      </w:r>
      <w:r w:rsidR="00825E76" w:rsidRPr="00AF2913">
        <w:rPr>
          <w:rFonts w:ascii="Arial" w:eastAsia="Times New Roman" w:hAnsi="Arial" w:cs="Times New Roman"/>
          <w:color w:val="333333"/>
          <w:sz w:val="20"/>
          <w:szCs w:val="18"/>
        </w:rPr>
        <w:t xml:space="preserve"> provenance and audit logging to record events that have been performed</w:t>
      </w:r>
      <w:r w:rsidR="00502651" w:rsidRPr="00AF2913">
        <w:rPr>
          <w:rFonts w:ascii="Arial" w:eastAsia="Times New Roman" w:hAnsi="Arial" w:cs="Times New Roman"/>
          <w:color w:val="333333"/>
          <w:sz w:val="20"/>
          <w:szCs w:val="18"/>
        </w:rPr>
        <w:t xml:space="preserve">. </w:t>
      </w:r>
      <w:bookmarkStart w:id="0" w:name="index"/>
      <w:bookmarkEnd w:id="0"/>
      <w:r w:rsidR="00AF2913">
        <w:rPr>
          <w:rFonts w:ascii="Arial" w:eastAsia="Times New Roman" w:hAnsi="Arial" w:cs="Times New Roman"/>
          <w:color w:val="333333"/>
          <w:sz w:val="20"/>
          <w:szCs w:val="18"/>
        </w:rPr>
        <w:t>However, the document states that “FHIR does not mandate a single technical approach to security and privacy; rather, the specification provides a set of building blocks that can be applied to create secure, private systems.”</w:t>
      </w:r>
    </w:p>
    <w:p w:rsidR="00AF2913" w:rsidRDefault="00AF2913" w:rsidP="00AF2913">
      <w:pPr>
        <w:shd w:val="clear" w:color="auto" w:fill="FFFFFF"/>
        <w:spacing w:after="0" w:line="200" w:lineRule="atLeast"/>
        <w:rPr>
          <w:rFonts w:ascii="Arial" w:eastAsia="Times New Roman" w:hAnsi="Arial" w:cs="Times New Roman"/>
          <w:color w:val="333333"/>
          <w:sz w:val="20"/>
          <w:szCs w:val="18"/>
        </w:rPr>
      </w:pPr>
    </w:p>
    <w:p w:rsidR="00710DF6" w:rsidRDefault="00D36E05" w:rsidP="00AF2913">
      <w:pPr>
        <w:pStyle w:val="ListParagraph"/>
        <w:numPr>
          <w:ilvl w:val="0"/>
          <w:numId w:val="24"/>
        </w:numPr>
        <w:shd w:val="clear" w:color="auto" w:fill="FFFFFF"/>
        <w:spacing w:after="0" w:line="200" w:lineRule="atLeast"/>
        <w:rPr>
          <w:rFonts w:ascii="Arial" w:hAnsi="Arial"/>
          <w:color w:val="262626"/>
          <w:sz w:val="20"/>
          <w:szCs w:val="27"/>
          <w:shd w:val="clear" w:color="auto" w:fill="FFFFFF"/>
        </w:rPr>
      </w:pPr>
      <w:r w:rsidRPr="00AF2913">
        <w:rPr>
          <w:rFonts w:ascii="Arial" w:eastAsia="Times New Roman" w:hAnsi="Arial" w:cs="Times New Roman"/>
          <w:b/>
          <w:color w:val="333333"/>
          <w:sz w:val="20"/>
          <w:szCs w:val="21"/>
        </w:rPr>
        <w:t xml:space="preserve">The </w:t>
      </w:r>
      <w:r w:rsidR="005756FD" w:rsidRPr="00AF2913">
        <w:rPr>
          <w:rFonts w:ascii="Arial" w:eastAsia="Times New Roman" w:hAnsi="Arial" w:cs="Times New Roman"/>
          <w:b/>
          <w:color w:val="333333"/>
          <w:sz w:val="20"/>
          <w:szCs w:val="21"/>
        </w:rPr>
        <w:t>IEEE P7002 Data Privacy Process</w:t>
      </w:r>
      <w:r w:rsidR="0014672A" w:rsidRPr="00AF2913">
        <w:rPr>
          <w:rFonts w:ascii="Arial" w:hAnsi="Arial"/>
          <w:color w:val="262626"/>
          <w:sz w:val="20"/>
          <w:szCs w:val="27"/>
          <w:shd w:val="clear" w:color="auto" w:fill="FFFFFF"/>
        </w:rPr>
        <w:t xml:space="preserve"> </w:t>
      </w:r>
      <w:r w:rsidRPr="00AF2913">
        <w:rPr>
          <w:rFonts w:ascii="Arial" w:hAnsi="Arial"/>
          <w:color w:val="262626"/>
          <w:sz w:val="20"/>
          <w:szCs w:val="27"/>
          <w:shd w:val="clear" w:color="auto" w:fill="FFFFFF"/>
        </w:rPr>
        <w:t xml:space="preserve">standard </w:t>
      </w:r>
      <w:r w:rsidR="00634844" w:rsidRPr="00AF2913">
        <w:rPr>
          <w:rFonts w:ascii="Arial" w:hAnsi="Arial"/>
          <w:color w:val="262626"/>
          <w:sz w:val="20"/>
          <w:szCs w:val="27"/>
          <w:shd w:val="clear" w:color="auto" w:fill="FFFFFF"/>
        </w:rPr>
        <w:t xml:space="preserve">defines requirements for a systems/software engineering process for privacy oriented considerations </w:t>
      </w:r>
      <w:r w:rsidR="00710DF6" w:rsidRPr="00AF2913">
        <w:rPr>
          <w:rFonts w:ascii="Arial" w:hAnsi="Arial"/>
          <w:color w:val="262626"/>
          <w:sz w:val="20"/>
          <w:szCs w:val="27"/>
          <w:shd w:val="clear" w:color="auto" w:fill="FFFFFF"/>
        </w:rPr>
        <w:t>for</w:t>
      </w:r>
      <w:r w:rsidR="0014672A" w:rsidRPr="00AF2913">
        <w:rPr>
          <w:rFonts w:ascii="Arial" w:hAnsi="Arial"/>
          <w:color w:val="262626"/>
          <w:sz w:val="20"/>
          <w:szCs w:val="27"/>
          <w:shd w:val="clear" w:color="auto" w:fill="FFFFFF"/>
        </w:rPr>
        <w:t xml:space="preserve"> orga</w:t>
      </w:r>
      <w:r w:rsidRPr="00AF2913">
        <w:rPr>
          <w:rFonts w:ascii="Arial" w:hAnsi="Arial"/>
          <w:color w:val="262626"/>
          <w:sz w:val="20"/>
          <w:szCs w:val="27"/>
          <w:shd w:val="clear" w:color="auto" w:fill="FFFFFF"/>
        </w:rPr>
        <w:t xml:space="preserve">nizations and projects </w:t>
      </w:r>
      <w:r w:rsidR="0014672A" w:rsidRPr="00AF2913">
        <w:rPr>
          <w:rFonts w:ascii="Arial" w:hAnsi="Arial"/>
          <w:color w:val="262626"/>
          <w:sz w:val="20"/>
          <w:szCs w:val="27"/>
          <w:shd w:val="clear" w:color="auto" w:fill="FFFFFF"/>
        </w:rPr>
        <w:t>developing and deploying products, systems, processe</w:t>
      </w:r>
      <w:r w:rsidR="00710DF6" w:rsidRPr="00AF2913">
        <w:rPr>
          <w:rFonts w:ascii="Arial" w:hAnsi="Arial"/>
          <w:color w:val="262626"/>
          <w:sz w:val="20"/>
          <w:szCs w:val="27"/>
          <w:shd w:val="clear" w:color="auto" w:fill="FFFFFF"/>
        </w:rPr>
        <w:t>s, and applications involving</w:t>
      </w:r>
      <w:r w:rsidR="0014672A" w:rsidRPr="00AF2913">
        <w:rPr>
          <w:rFonts w:ascii="Arial" w:hAnsi="Arial"/>
          <w:color w:val="262626"/>
          <w:sz w:val="20"/>
          <w:szCs w:val="27"/>
          <w:shd w:val="clear" w:color="auto" w:fill="FFFFFF"/>
        </w:rPr>
        <w:t xml:space="preserve"> personal information. </w:t>
      </w:r>
    </w:p>
    <w:p w:rsidR="00AF2913" w:rsidRPr="00AF2913" w:rsidRDefault="00AF2913" w:rsidP="00AF2913">
      <w:pPr>
        <w:pStyle w:val="ListParagraph"/>
        <w:rPr>
          <w:rFonts w:ascii="Arial" w:hAnsi="Arial"/>
          <w:color w:val="262626"/>
          <w:sz w:val="20"/>
          <w:szCs w:val="27"/>
          <w:shd w:val="clear" w:color="auto" w:fill="FFFFFF"/>
        </w:rPr>
      </w:pPr>
    </w:p>
    <w:p w:rsidR="00AF2913" w:rsidRPr="00AF2913" w:rsidRDefault="00AF2913" w:rsidP="00AF2913">
      <w:pPr>
        <w:pStyle w:val="ListParagraph"/>
        <w:shd w:val="clear" w:color="auto" w:fill="FFFFFF"/>
        <w:spacing w:after="0" w:line="200" w:lineRule="atLeast"/>
        <w:rPr>
          <w:rFonts w:ascii="Arial" w:hAnsi="Arial"/>
          <w:color w:val="262626"/>
          <w:sz w:val="20"/>
          <w:szCs w:val="27"/>
          <w:shd w:val="clear" w:color="auto" w:fill="FFFFFF"/>
        </w:rPr>
      </w:pPr>
    </w:p>
    <w:p w:rsidR="00B918C3" w:rsidRDefault="00B918C3" w:rsidP="00AF2913">
      <w:pPr>
        <w:pStyle w:val="ListParagraph"/>
        <w:numPr>
          <w:ilvl w:val="0"/>
          <w:numId w:val="24"/>
        </w:numPr>
        <w:shd w:val="clear" w:color="auto" w:fill="FFFFFF"/>
        <w:spacing w:before="100" w:beforeAutospacing="1" w:after="100" w:afterAutospacing="1" w:line="240" w:lineRule="auto"/>
        <w:rPr>
          <w:rFonts w:ascii="Arial" w:hAnsi="Arial"/>
          <w:color w:val="262626"/>
          <w:sz w:val="20"/>
          <w:szCs w:val="27"/>
          <w:shd w:val="clear" w:color="auto" w:fill="FFFFFF"/>
        </w:rPr>
      </w:pPr>
      <w:r w:rsidRPr="00AF2913">
        <w:rPr>
          <w:rFonts w:ascii="Arial" w:hAnsi="Arial"/>
          <w:b/>
          <w:color w:val="262626"/>
          <w:sz w:val="20"/>
          <w:szCs w:val="27"/>
          <w:shd w:val="clear" w:color="auto" w:fill="FFFFFF"/>
        </w:rPr>
        <w:lastRenderedPageBreak/>
        <w:t>The National Institute of Standards and Technology (NIST) Privacy Framework</w:t>
      </w:r>
      <w:r w:rsidR="00F350DF" w:rsidRPr="00AF2913">
        <w:rPr>
          <w:rFonts w:ascii="Arial" w:hAnsi="Arial"/>
          <w:color w:val="262626"/>
          <w:sz w:val="20"/>
          <w:szCs w:val="27"/>
          <w:shd w:val="clear" w:color="auto" w:fill="FFFFFF"/>
        </w:rPr>
        <w:t xml:space="preserve"> helps</w:t>
      </w:r>
      <w:r w:rsidRPr="00AF2913">
        <w:rPr>
          <w:rFonts w:ascii="Arial" w:hAnsi="Arial"/>
          <w:color w:val="262626"/>
          <w:sz w:val="20"/>
          <w:szCs w:val="27"/>
          <w:shd w:val="clear" w:color="auto" w:fill="FFFFFF"/>
        </w:rPr>
        <w:t xml:space="preserve"> organizations manage privacy risks </w:t>
      </w:r>
      <w:r w:rsidR="00634844" w:rsidRPr="00AF2913">
        <w:rPr>
          <w:rFonts w:ascii="Arial" w:hAnsi="Arial"/>
          <w:color w:val="262626"/>
          <w:sz w:val="20"/>
          <w:szCs w:val="27"/>
          <w:shd w:val="clear" w:color="auto" w:fill="FFFFFF"/>
        </w:rPr>
        <w:t xml:space="preserve">from </w:t>
      </w:r>
      <w:r w:rsidRPr="00AF2913">
        <w:rPr>
          <w:rFonts w:ascii="Arial" w:hAnsi="Arial"/>
          <w:color w:val="262626"/>
          <w:sz w:val="20"/>
          <w:szCs w:val="27"/>
          <w:shd w:val="clear" w:color="auto" w:fill="FFFFFF"/>
        </w:rPr>
        <w:t xml:space="preserve">Personally Identifiable Information (PII) </w:t>
      </w:r>
      <w:r w:rsidR="00F350DF" w:rsidRPr="00AF2913">
        <w:rPr>
          <w:rFonts w:ascii="Arial" w:hAnsi="Arial"/>
          <w:color w:val="262626"/>
          <w:sz w:val="20"/>
          <w:szCs w:val="27"/>
          <w:shd w:val="clear" w:color="auto" w:fill="FFFFFF"/>
        </w:rPr>
        <w:t>about</w:t>
      </w:r>
      <w:r w:rsidR="002C676E" w:rsidRPr="00AF2913">
        <w:rPr>
          <w:rFonts w:ascii="Arial" w:hAnsi="Arial"/>
          <w:color w:val="262626"/>
          <w:sz w:val="20"/>
          <w:szCs w:val="27"/>
          <w:shd w:val="clear" w:color="auto" w:fill="FFFFFF"/>
        </w:rPr>
        <w:t xml:space="preserve"> individuals </w:t>
      </w:r>
      <w:r w:rsidR="00634844" w:rsidRPr="00AF2913">
        <w:rPr>
          <w:rFonts w:ascii="Arial" w:hAnsi="Arial"/>
          <w:color w:val="262626"/>
          <w:sz w:val="20"/>
          <w:szCs w:val="27"/>
          <w:shd w:val="clear" w:color="auto" w:fill="FFFFFF"/>
        </w:rPr>
        <w:t>being</w:t>
      </w:r>
      <w:r w:rsidRPr="00AF2913">
        <w:rPr>
          <w:rFonts w:ascii="Arial" w:hAnsi="Arial"/>
          <w:color w:val="262626"/>
          <w:sz w:val="20"/>
          <w:szCs w:val="27"/>
          <w:shd w:val="clear" w:color="auto" w:fill="FFFFFF"/>
        </w:rPr>
        <w:t xml:space="preserve"> collected</w:t>
      </w:r>
      <w:r w:rsidR="0014672A" w:rsidRPr="00AF2913">
        <w:rPr>
          <w:rFonts w:ascii="Arial" w:hAnsi="Arial"/>
          <w:color w:val="262626"/>
          <w:sz w:val="20"/>
          <w:szCs w:val="27"/>
          <w:shd w:val="clear" w:color="auto" w:fill="FFFFFF"/>
        </w:rPr>
        <w:t>,</w:t>
      </w:r>
      <w:r w:rsidRPr="00AF2913">
        <w:rPr>
          <w:rFonts w:ascii="Arial" w:hAnsi="Arial"/>
          <w:color w:val="262626"/>
          <w:sz w:val="20"/>
          <w:szCs w:val="27"/>
          <w:shd w:val="clear" w:color="auto" w:fill="FFFFFF"/>
        </w:rPr>
        <w:t xml:space="preserve"> stored, used</w:t>
      </w:r>
      <w:r w:rsidR="0014672A" w:rsidRPr="00AF2913">
        <w:rPr>
          <w:rFonts w:ascii="Arial" w:hAnsi="Arial"/>
          <w:color w:val="262626"/>
          <w:sz w:val="20"/>
          <w:szCs w:val="27"/>
          <w:shd w:val="clear" w:color="auto" w:fill="FFFFFF"/>
        </w:rPr>
        <w:t>,</w:t>
      </w:r>
      <w:r w:rsidRPr="00AF2913">
        <w:rPr>
          <w:rFonts w:ascii="Arial" w:hAnsi="Arial"/>
          <w:color w:val="262626"/>
          <w:sz w:val="20"/>
          <w:szCs w:val="27"/>
          <w:shd w:val="clear" w:color="auto" w:fill="FFFFFF"/>
        </w:rPr>
        <w:t xml:space="preserve"> </w:t>
      </w:r>
      <w:r w:rsidR="00A705E3" w:rsidRPr="00AF2913">
        <w:rPr>
          <w:rFonts w:ascii="Arial" w:hAnsi="Arial"/>
          <w:color w:val="262626"/>
          <w:sz w:val="20"/>
          <w:szCs w:val="27"/>
          <w:shd w:val="clear" w:color="auto" w:fill="FFFFFF"/>
        </w:rPr>
        <w:t>and shared by an</w:t>
      </w:r>
      <w:r w:rsidR="00634844" w:rsidRPr="00AF2913">
        <w:rPr>
          <w:rFonts w:ascii="Arial" w:hAnsi="Arial"/>
          <w:color w:val="262626"/>
          <w:sz w:val="20"/>
          <w:szCs w:val="27"/>
          <w:shd w:val="clear" w:color="auto" w:fill="FFFFFF"/>
        </w:rPr>
        <w:t xml:space="preserve"> organization during the use of the organization’s products and services.</w:t>
      </w:r>
    </w:p>
    <w:p w:rsidR="00AF2913" w:rsidRPr="00AF2913" w:rsidRDefault="00AF2913" w:rsidP="00AF2913">
      <w:pPr>
        <w:pStyle w:val="ListParagraph"/>
        <w:shd w:val="clear" w:color="auto" w:fill="FFFFFF"/>
        <w:spacing w:before="100" w:beforeAutospacing="1" w:after="100" w:afterAutospacing="1" w:line="240" w:lineRule="auto"/>
        <w:rPr>
          <w:rFonts w:ascii="Arial" w:hAnsi="Arial"/>
          <w:color w:val="262626"/>
          <w:sz w:val="20"/>
          <w:szCs w:val="27"/>
          <w:shd w:val="clear" w:color="auto" w:fill="FFFFFF"/>
        </w:rPr>
      </w:pPr>
    </w:p>
    <w:p w:rsidR="00D36E05" w:rsidRPr="00AF2913" w:rsidRDefault="003C4B51" w:rsidP="00AF2913">
      <w:pPr>
        <w:pStyle w:val="ListParagraph"/>
        <w:numPr>
          <w:ilvl w:val="0"/>
          <w:numId w:val="24"/>
        </w:numPr>
        <w:shd w:val="clear" w:color="auto" w:fill="FFFFFF"/>
        <w:spacing w:before="100" w:beforeAutospacing="1" w:after="100" w:afterAutospacing="1" w:line="240" w:lineRule="auto"/>
        <w:rPr>
          <w:rFonts w:ascii="Arial" w:hAnsi="Arial"/>
          <w:sz w:val="20"/>
        </w:rPr>
      </w:pPr>
      <w:proofErr w:type="spellStart"/>
      <w:r w:rsidRPr="00AF2913">
        <w:rPr>
          <w:rFonts w:ascii="Arial" w:eastAsia="Times New Roman" w:hAnsi="Arial" w:cs="Times New Roman"/>
          <w:b/>
          <w:color w:val="333333"/>
          <w:sz w:val="20"/>
          <w:szCs w:val="21"/>
        </w:rPr>
        <w:t>Xcertia</w:t>
      </w:r>
      <w:proofErr w:type="spellEnd"/>
      <w:r w:rsidRPr="00AF2913">
        <w:rPr>
          <w:rFonts w:ascii="Arial" w:eastAsia="Times New Roman" w:hAnsi="Arial" w:cs="Times New Roman"/>
          <w:b/>
          <w:color w:val="333333"/>
          <w:sz w:val="20"/>
          <w:szCs w:val="21"/>
        </w:rPr>
        <w:t xml:space="preserve"> </w:t>
      </w:r>
      <w:proofErr w:type="spellStart"/>
      <w:r w:rsidRPr="00AF2913">
        <w:rPr>
          <w:rFonts w:ascii="Arial" w:eastAsia="Times New Roman" w:hAnsi="Arial" w:cs="Times New Roman"/>
          <w:b/>
          <w:color w:val="333333"/>
          <w:sz w:val="20"/>
          <w:szCs w:val="21"/>
        </w:rPr>
        <w:t>mHealth</w:t>
      </w:r>
      <w:proofErr w:type="spellEnd"/>
      <w:r w:rsidRPr="00AF2913">
        <w:rPr>
          <w:rFonts w:ascii="Arial" w:eastAsia="Times New Roman" w:hAnsi="Arial" w:cs="Times New Roman"/>
          <w:b/>
          <w:color w:val="333333"/>
          <w:sz w:val="20"/>
          <w:szCs w:val="21"/>
        </w:rPr>
        <w:t xml:space="preserve"> </w:t>
      </w:r>
      <w:r w:rsidRPr="00AF2913">
        <w:rPr>
          <w:rFonts w:ascii="Arial" w:hAnsi="Arial"/>
          <w:b/>
          <w:sz w:val="20"/>
        </w:rPr>
        <w:t>App Priva</w:t>
      </w:r>
      <w:r w:rsidR="00B918C3" w:rsidRPr="00AF2913">
        <w:rPr>
          <w:rFonts w:ascii="Arial" w:hAnsi="Arial"/>
          <w:b/>
          <w:sz w:val="20"/>
        </w:rPr>
        <w:t>cy Guidelines</w:t>
      </w:r>
      <w:r w:rsidR="00B918C3" w:rsidRPr="00AF2913">
        <w:rPr>
          <w:rFonts w:ascii="Arial" w:hAnsi="Arial"/>
          <w:sz w:val="20"/>
        </w:rPr>
        <w:t xml:space="preserve"> </w:t>
      </w:r>
      <w:r w:rsidRPr="00AF2913">
        <w:rPr>
          <w:rFonts w:ascii="Arial" w:hAnsi="Arial"/>
          <w:sz w:val="20"/>
        </w:rPr>
        <w:t xml:space="preserve">assess whether a mobile health app protects the user’s information, including Protected Health Information (PHI), Personal Information (PI), </w:t>
      </w:r>
      <w:r w:rsidR="0014672A" w:rsidRPr="00AF2913">
        <w:rPr>
          <w:rFonts w:ascii="Arial" w:hAnsi="Arial"/>
          <w:sz w:val="20"/>
        </w:rPr>
        <w:t xml:space="preserve">and </w:t>
      </w:r>
      <w:r w:rsidRPr="00AF2913">
        <w:rPr>
          <w:rFonts w:ascii="Arial" w:hAnsi="Arial"/>
          <w:sz w:val="20"/>
        </w:rPr>
        <w:t>Personally Identifiable Information (PII) in full compliance with all applicable laws, rules and regulations</w:t>
      </w:r>
      <w:r w:rsidR="00D36E05" w:rsidRPr="00AF2913">
        <w:rPr>
          <w:rFonts w:ascii="Arial" w:hAnsi="Arial"/>
          <w:sz w:val="20"/>
        </w:rPr>
        <w:t>.</w:t>
      </w:r>
    </w:p>
    <w:p w:rsidR="00D36E05" w:rsidRPr="00CB1914" w:rsidRDefault="00D36E05" w:rsidP="00433316">
      <w:pPr>
        <w:shd w:val="clear" w:color="auto" w:fill="FFFFFF"/>
        <w:spacing w:before="100" w:beforeAutospacing="1" w:after="100" w:afterAutospacing="1" w:line="240" w:lineRule="auto"/>
        <w:rPr>
          <w:rFonts w:ascii="Arial" w:hAnsi="Arial"/>
          <w:b/>
          <w:sz w:val="20"/>
        </w:rPr>
      </w:pPr>
      <w:r w:rsidRPr="00CB1914">
        <w:rPr>
          <w:rFonts w:ascii="Arial" w:hAnsi="Arial"/>
          <w:b/>
          <w:sz w:val="20"/>
        </w:rPr>
        <w:t>Protecting Personal H</w:t>
      </w:r>
      <w:r w:rsidR="00AF2913">
        <w:rPr>
          <w:rFonts w:ascii="Arial" w:hAnsi="Arial"/>
          <w:b/>
          <w:sz w:val="20"/>
        </w:rPr>
        <w:t>ealth Data with Decentralized Digital Identity</w:t>
      </w:r>
    </w:p>
    <w:p w:rsidR="0014672A" w:rsidRPr="00CB1914" w:rsidRDefault="00C647FE" w:rsidP="00433316">
      <w:pPr>
        <w:shd w:val="clear" w:color="auto" w:fill="FFFFFF"/>
        <w:spacing w:before="100" w:beforeAutospacing="1" w:after="100" w:afterAutospacing="1" w:line="240" w:lineRule="auto"/>
        <w:rPr>
          <w:rFonts w:ascii="Arial" w:hAnsi="Arial"/>
          <w:sz w:val="20"/>
        </w:rPr>
      </w:pPr>
      <w:r>
        <w:rPr>
          <w:rFonts w:ascii="Arial" w:hAnsi="Arial"/>
          <w:sz w:val="20"/>
        </w:rPr>
        <w:t>I would like to work with others to develop scenarios demonstrating</w:t>
      </w:r>
      <w:r w:rsidR="00AF2913">
        <w:rPr>
          <w:rFonts w:ascii="Arial" w:hAnsi="Arial"/>
          <w:sz w:val="20"/>
        </w:rPr>
        <w:t xml:space="preserve"> how decentralized digital identity can help in protecting</w:t>
      </w:r>
      <w:r w:rsidR="00D36E05" w:rsidRPr="00CB1914">
        <w:rPr>
          <w:rFonts w:ascii="Arial" w:hAnsi="Arial"/>
          <w:sz w:val="20"/>
        </w:rPr>
        <w:t xml:space="preserve"> </w:t>
      </w:r>
      <w:r w:rsidR="00AF2913">
        <w:rPr>
          <w:rFonts w:ascii="Arial" w:hAnsi="Arial"/>
          <w:sz w:val="20"/>
        </w:rPr>
        <w:t xml:space="preserve">Personally </w:t>
      </w:r>
      <w:r w:rsidR="0014672A" w:rsidRPr="00CB1914">
        <w:rPr>
          <w:rFonts w:ascii="Arial" w:hAnsi="Arial"/>
          <w:sz w:val="20"/>
        </w:rPr>
        <w:t xml:space="preserve">Identifiable Information (PII), Personal Information (PI), and Protected Health Information (PHI) while facilitating </w:t>
      </w:r>
      <w:r w:rsidR="00AF2913">
        <w:rPr>
          <w:rFonts w:ascii="Arial" w:hAnsi="Arial"/>
          <w:sz w:val="20"/>
        </w:rPr>
        <w:t xml:space="preserve">sharing of personal health data in the context of Open </w:t>
      </w:r>
      <w:proofErr w:type="spellStart"/>
      <w:r w:rsidR="00AF2913">
        <w:rPr>
          <w:rFonts w:ascii="Arial" w:hAnsi="Arial"/>
          <w:sz w:val="20"/>
        </w:rPr>
        <w:t>mHealth</w:t>
      </w:r>
      <w:proofErr w:type="spellEnd"/>
      <w:r w:rsidR="00AF2913">
        <w:rPr>
          <w:rFonts w:ascii="Arial" w:hAnsi="Arial"/>
          <w:sz w:val="20"/>
        </w:rPr>
        <w:t xml:space="preserve"> and the IEEE P1752 Standard for Mobile Health Data.</w:t>
      </w:r>
    </w:p>
    <w:p w:rsidR="00E7311A" w:rsidRPr="00CB1914" w:rsidRDefault="00433316" w:rsidP="00433316">
      <w:pPr>
        <w:shd w:val="clear" w:color="auto" w:fill="FFFFFF"/>
        <w:spacing w:before="100" w:beforeAutospacing="1" w:after="100" w:afterAutospacing="1" w:line="240" w:lineRule="auto"/>
        <w:rPr>
          <w:rFonts w:ascii="Arial" w:eastAsia="Times New Roman" w:hAnsi="Arial" w:cs="Times New Roman"/>
          <w:b/>
          <w:color w:val="333333"/>
          <w:sz w:val="20"/>
          <w:szCs w:val="21"/>
        </w:rPr>
      </w:pPr>
      <w:r w:rsidRPr="00CB1914">
        <w:rPr>
          <w:rFonts w:ascii="Arial" w:eastAsia="Times New Roman" w:hAnsi="Arial" w:cs="Times New Roman"/>
          <w:b/>
          <w:color w:val="333333"/>
          <w:sz w:val="20"/>
          <w:szCs w:val="21"/>
        </w:rPr>
        <w:t>References</w:t>
      </w:r>
    </w:p>
    <w:p w:rsidR="00071CD5" w:rsidRPr="00CB1914" w:rsidRDefault="00071CD5" w:rsidP="005C71C7">
      <w:pPr>
        <w:shd w:val="clear" w:color="auto" w:fill="FFFFFF"/>
        <w:spacing w:before="100" w:beforeAutospacing="1" w:after="100" w:afterAutospacing="1" w:line="240" w:lineRule="auto"/>
        <w:rPr>
          <w:rFonts w:ascii="Arial" w:eastAsia="Times New Roman" w:hAnsi="Arial" w:cs="Times New Roman"/>
          <w:color w:val="333333"/>
          <w:sz w:val="20"/>
          <w:szCs w:val="21"/>
        </w:rPr>
      </w:pPr>
      <w:r w:rsidRPr="00CB1914">
        <w:rPr>
          <w:rFonts w:ascii="Arial" w:eastAsia="Times New Roman" w:hAnsi="Arial" w:cs="Times New Roman"/>
          <w:color w:val="333333"/>
          <w:sz w:val="20"/>
          <w:szCs w:val="21"/>
        </w:rPr>
        <w:t xml:space="preserve">HL7 FHIR Release 4 </w:t>
      </w:r>
      <w:hyperlink r:id="rId6" w:history="1">
        <w:r w:rsidRPr="00CB1914">
          <w:rPr>
            <w:rStyle w:val="Hyperlink"/>
            <w:rFonts w:ascii="Arial" w:hAnsi="Arial"/>
            <w:sz w:val="20"/>
          </w:rPr>
          <w:t>https://www.hl7.org/fhir/overview.html</w:t>
        </w:r>
      </w:hyperlink>
    </w:p>
    <w:p w:rsidR="008F7C59" w:rsidRPr="00CB1914" w:rsidRDefault="00071CD5" w:rsidP="008F7C59">
      <w:pPr>
        <w:shd w:val="clear" w:color="auto" w:fill="FFFFFF"/>
        <w:spacing w:before="100" w:beforeAutospacing="1" w:after="100" w:afterAutospacing="1" w:line="240" w:lineRule="auto"/>
        <w:rPr>
          <w:rStyle w:val="Hyperlink"/>
          <w:rFonts w:ascii="Arial" w:hAnsi="Arial"/>
          <w:sz w:val="20"/>
        </w:rPr>
      </w:pPr>
      <w:r w:rsidRPr="00CB1914">
        <w:rPr>
          <w:rFonts w:ascii="Arial" w:eastAsia="Times New Roman" w:hAnsi="Arial" w:cs="Times New Roman"/>
          <w:color w:val="333333"/>
          <w:sz w:val="20"/>
          <w:szCs w:val="21"/>
        </w:rPr>
        <w:t xml:space="preserve">HL7 FHIR Security and Privacy Module </w:t>
      </w:r>
      <w:r w:rsidR="008F7C59" w:rsidRPr="00B81D03">
        <w:rPr>
          <w:rStyle w:val="Hyperlink"/>
          <w:rFonts w:ascii="Arial" w:hAnsi="Arial"/>
          <w:sz w:val="20"/>
        </w:rPr>
        <w:t>https://www.h</w:t>
      </w:r>
      <w:r w:rsidR="00B81D03">
        <w:rPr>
          <w:rStyle w:val="Hyperlink"/>
          <w:rFonts w:ascii="Arial" w:hAnsi="Arial"/>
          <w:sz w:val="20"/>
        </w:rPr>
        <w:t>l7.org/fhir/secpriv-module.html</w:t>
      </w:r>
    </w:p>
    <w:p w:rsidR="00E7311A" w:rsidRPr="00CB1914" w:rsidRDefault="00433316" w:rsidP="00E7311A">
      <w:pPr>
        <w:shd w:val="clear" w:color="auto" w:fill="FFFFFF"/>
        <w:spacing w:before="100" w:beforeAutospacing="1" w:after="100" w:afterAutospacing="1" w:line="240" w:lineRule="auto"/>
        <w:rPr>
          <w:rFonts w:ascii="Arial" w:eastAsia="Times New Roman" w:hAnsi="Arial" w:cs="Times New Roman"/>
          <w:color w:val="333333"/>
          <w:sz w:val="20"/>
          <w:szCs w:val="21"/>
        </w:rPr>
      </w:pPr>
      <w:r w:rsidRPr="00CB1914">
        <w:rPr>
          <w:rFonts w:ascii="Arial" w:eastAsia="Times New Roman" w:hAnsi="Arial" w:cs="Times New Roman"/>
          <w:color w:val="333333"/>
          <w:sz w:val="20"/>
          <w:szCs w:val="21"/>
        </w:rPr>
        <w:t>IEE</w:t>
      </w:r>
      <w:r w:rsidR="00071CD5" w:rsidRPr="00CB1914">
        <w:rPr>
          <w:rFonts w:ascii="Arial" w:eastAsia="Times New Roman" w:hAnsi="Arial" w:cs="Times New Roman"/>
          <w:color w:val="333333"/>
          <w:sz w:val="20"/>
          <w:szCs w:val="21"/>
        </w:rPr>
        <w:t>E</w:t>
      </w:r>
      <w:r w:rsidRPr="00CB1914">
        <w:rPr>
          <w:rFonts w:ascii="Arial" w:eastAsia="Times New Roman" w:hAnsi="Arial" w:cs="Times New Roman"/>
          <w:color w:val="333333"/>
          <w:sz w:val="20"/>
          <w:szCs w:val="21"/>
        </w:rPr>
        <w:t xml:space="preserve"> P1752 Working Group</w:t>
      </w:r>
      <w:r w:rsidR="00071CD5" w:rsidRPr="00CB1914">
        <w:rPr>
          <w:rFonts w:ascii="Arial" w:eastAsia="Times New Roman" w:hAnsi="Arial" w:cs="Times New Roman"/>
          <w:color w:val="333333"/>
          <w:sz w:val="20"/>
          <w:szCs w:val="21"/>
        </w:rPr>
        <w:t xml:space="preserve"> </w:t>
      </w:r>
      <w:hyperlink r:id="rId7" w:history="1">
        <w:r w:rsidR="00071CD5" w:rsidRPr="00CB1914">
          <w:rPr>
            <w:rStyle w:val="Hyperlink"/>
            <w:rFonts w:ascii="Arial" w:hAnsi="Arial"/>
            <w:sz w:val="20"/>
          </w:rPr>
          <w:t>https://site.ieee.org/sagroups-1752/</w:t>
        </w:r>
      </w:hyperlink>
    </w:p>
    <w:p w:rsidR="00842DE2" w:rsidRPr="00CB1914" w:rsidRDefault="005756FD" w:rsidP="00071CD5">
      <w:pPr>
        <w:spacing w:after="150" w:line="240" w:lineRule="auto"/>
        <w:rPr>
          <w:rStyle w:val="Hyperlink"/>
          <w:rFonts w:ascii="Arial" w:hAnsi="Arial"/>
          <w:sz w:val="20"/>
        </w:rPr>
      </w:pPr>
      <w:r w:rsidRPr="00CB1914">
        <w:rPr>
          <w:rFonts w:ascii="Arial" w:hAnsi="Arial"/>
          <w:sz w:val="20"/>
        </w:rPr>
        <w:t xml:space="preserve">IEEE P7002 Data Privacy Process </w:t>
      </w:r>
      <w:hyperlink r:id="rId8" w:anchor="Standard" w:history="1">
        <w:r w:rsidRPr="00CB1914">
          <w:rPr>
            <w:rStyle w:val="Hyperlink"/>
            <w:rFonts w:ascii="Arial" w:hAnsi="Arial"/>
            <w:sz w:val="20"/>
          </w:rPr>
          <w:t>https://standards.ieee.org/project/7002.html#Standard</w:t>
        </w:r>
      </w:hyperlink>
    </w:p>
    <w:p w:rsidR="00842DE2" w:rsidRPr="00CB1914" w:rsidRDefault="00842DE2" w:rsidP="00071CD5">
      <w:pPr>
        <w:spacing w:after="150" w:line="240" w:lineRule="auto"/>
        <w:rPr>
          <w:rFonts w:ascii="Arial" w:hAnsi="Arial"/>
          <w:sz w:val="20"/>
        </w:rPr>
      </w:pPr>
      <w:r w:rsidRPr="00CB1914">
        <w:rPr>
          <w:rFonts w:ascii="Arial" w:hAnsi="Arial"/>
          <w:sz w:val="20"/>
        </w:rPr>
        <w:t xml:space="preserve">Improving the Management of Multiple Chronic Conditions with </w:t>
      </w:r>
      <w:proofErr w:type="spellStart"/>
      <w:r w:rsidRPr="00CB1914">
        <w:rPr>
          <w:rFonts w:ascii="Arial" w:hAnsi="Arial"/>
          <w:sz w:val="20"/>
        </w:rPr>
        <w:t>mPROVE</w:t>
      </w:r>
      <w:proofErr w:type="spellEnd"/>
      <w:r w:rsidRPr="00CB1914">
        <w:rPr>
          <w:rFonts w:ascii="Arial" w:hAnsi="Arial"/>
          <w:sz w:val="20"/>
        </w:rPr>
        <w:t xml:space="preserve"> </w:t>
      </w:r>
      <w:bookmarkStart w:id="1" w:name="_GoBack"/>
      <w:bookmarkEnd w:id="1"/>
      <w:r w:rsidR="002B5501">
        <w:rPr>
          <w:rFonts w:ascii="Arial" w:hAnsi="Arial"/>
          <w:color w:val="0000FF"/>
          <w:sz w:val="20"/>
          <w:u w:val="single"/>
        </w:rPr>
        <w:fldChar w:fldCharType="begin"/>
      </w:r>
      <w:r w:rsidR="002B5501">
        <w:rPr>
          <w:rFonts w:ascii="Arial" w:hAnsi="Arial"/>
          <w:color w:val="0000FF"/>
          <w:sz w:val="20"/>
          <w:u w:val="single"/>
        </w:rPr>
        <w:instrText xml:space="preserve"> HYPERLINK "https://digital.ahrq.gov/ahrq-funded-projects/improving-management-multiple-chronic-conditions-mprove" </w:instrText>
      </w:r>
      <w:r w:rsidR="002B5501">
        <w:rPr>
          <w:rFonts w:ascii="Arial" w:hAnsi="Arial"/>
          <w:color w:val="0000FF"/>
          <w:sz w:val="20"/>
          <w:u w:val="single"/>
        </w:rPr>
        <w:fldChar w:fldCharType="separate"/>
      </w:r>
      <w:r w:rsidRPr="00CB1914">
        <w:rPr>
          <w:rFonts w:ascii="Arial" w:hAnsi="Arial"/>
          <w:color w:val="0000FF"/>
          <w:sz w:val="20"/>
          <w:u w:val="single"/>
        </w:rPr>
        <w:t>https://digital.ahrq.gov/ahrq-funded-projects/improving-management-multiple-chronic-conditions-mprove</w:t>
      </w:r>
      <w:r w:rsidR="002B5501">
        <w:rPr>
          <w:rFonts w:ascii="Arial" w:hAnsi="Arial"/>
          <w:color w:val="0000FF"/>
          <w:sz w:val="20"/>
          <w:u w:val="single"/>
        </w:rPr>
        <w:fldChar w:fldCharType="end"/>
      </w:r>
    </w:p>
    <w:p w:rsidR="00FA1FC2" w:rsidRPr="00CB1914" w:rsidRDefault="00FA1FC2" w:rsidP="00071CD5">
      <w:pPr>
        <w:spacing w:after="150" w:line="240" w:lineRule="auto"/>
        <w:rPr>
          <w:rFonts w:ascii="Arial" w:hAnsi="Arial"/>
          <w:sz w:val="20"/>
        </w:rPr>
      </w:pPr>
      <w:r w:rsidRPr="00CB1914">
        <w:rPr>
          <w:rFonts w:ascii="Arial" w:hAnsi="Arial"/>
          <w:sz w:val="20"/>
        </w:rPr>
        <w:t>Mobile Devices a</w:t>
      </w:r>
      <w:r w:rsidR="005C71C7" w:rsidRPr="00CB1914">
        <w:rPr>
          <w:rFonts w:ascii="Arial" w:hAnsi="Arial"/>
          <w:sz w:val="20"/>
        </w:rPr>
        <w:t xml:space="preserve">nd Health, Ida Sim, </w:t>
      </w:r>
      <w:r w:rsidRPr="00CB1914">
        <w:rPr>
          <w:rFonts w:ascii="Arial" w:hAnsi="Arial"/>
          <w:sz w:val="20"/>
        </w:rPr>
        <w:t>The New England Jou</w:t>
      </w:r>
      <w:r w:rsidR="007C12B9">
        <w:rPr>
          <w:rFonts w:ascii="Arial" w:hAnsi="Arial"/>
          <w:sz w:val="20"/>
        </w:rPr>
        <w:t xml:space="preserve">rnal of Medicine, Sept. 5, 2019 </w:t>
      </w:r>
      <w:hyperlink r:id="rId9" w:history="1">
        <w:r w:rsidR="007C12B9" w:rsidRPr="007C12B9">
          <w:rPr>
            <w:color w:val="0000FF"/>
            <w:u w:val="single"/>
          </w:rPr>
          <w:t>https://www.nejm.org/doi/full/10.1056/NEJMra1806949</w:t>
        </w:r>
      </w:hyperlink>
    </w:p>
    <w:p w:rsidR="00D16DEB" w:rsidRPr="00CB1914" w:rsidRDefault="00771807" w:rsidP="00071CD5">
      <w:pPr>
        <w:spacing w:after="150" w:line="240" w:lineRule="auto"/>
        <w:rPr>
          <w:rFonts w:ascii="Arial" w:hAnsi="Arial"/>
          <w:sz w:val="20"/>
        </w:rPr>
      </w:pPr>
      <w:r w:rsidRPr="00CB1914">
        <w:rPr>
          <w:rFonts w:ascii="Arial" w:hAnsi="Arial"/>
          <w:sz w:val="20"/>
        </w:rPr>
        <w:t xml:space="preserve">NIST Privacy Framework: An Enterprise Risk Management Tool </w:t>
      </w:r>
      <w:hyperlink r:id="rId10" w:history="1">
        <w:r w:rsidRPr="00CB1914">
          <w:rPr>
            <w:rFonts w:ascii="Arial" w:hAnsi="Arial"/>
            <w:color w:val="0000FF"/>
            <w:sz w:val="20"/>
            <w:u w:val="single"/>
          </w:rPr>
          <w:t>https://www.federalregister.gov/documents/2018/11/14/2018-24714/developing-a-privacy-framework</w:t>
        </w:r>
      </w:hyperlink>
    </w:p>
    <w:p w:rsidR="00294531" w:rsidRPr="00CB1914" w:rsidRDefault="00294531" w:rsidP="00071CD5">
      <w:pPr>
        <w:spacing w:after="150" w:line="240" w:lineRule="auto"/>
        <w:rPr>
          <w:rFonts w:ascii="Arial" w:hAnsi="Arial"/>
          <w:sz w:val="20"/>
        </w:rPr>
      </w:pPr>
      <w:r w:rsidRPr="00CB1914">
        <w:rPr>
          <w:rFonts w:ascii="Arial" w:hAnsi="Arial"/>
          <w:sz w:val="20"/>
        </w:rPr>
        <w:t xml:space="preserve">Online Psychosocial Assessment Instruments NIH / National Institute on Aging STTR Grant Number: 1R41AG037216-01 Final Report. </w:t>
      </w:r>
      <w:hyperlink r:id="rId11" w:history="1">
        <w:r w:rsidRPr="00CB1914">
          <w:rPr>
            <w:rFonts w:ascii="Arial" w:hAnsi="Arial"/>
            <w:color w:val="0000FF"/>
            <w:sz w:val="20"/>
            <w:u w:val="single"/>
          </w:rPr>
          <w:t>http://brainjolt.com/reports/1R41AG037216-01_NIA-STTR-Final.pdf</w:t>
        </w:r>
      </w:hyperlink>
    </w:p>
    <w:p w:rsidR="002935C5" w:rsidRPr="00CB1914" w:rsidRDefault="002935C5" w:rsidP="00071CD5">
      <w:pPr>
        <w:spacing w:after="150" w:line="240" w:lineRule="auto"/>
        <w:rPr>
          <w:rStyle w:val="Hyperlink"/>
          <w:rFonts w:ascii="Arial" w:hAnsi="Arial"/>
          <w:sz w:val="20"/>
        </w:rPr>
      </w:pPr>
      <w:r w:rsidRPr="00CB1914">
        <w:rPr>
          <w:rFonts w:ascii="Arial" w:hAnsi="Arial"/>
          <w:sz w:val="20"/>
        </w:rPr>
        <w:t xml:space="preserve">Open </w:t>
      </w:r>
      <w:proofErr w:type="spellStart"/>
      <w:r w:rsidRPr="00CB1914">
        <w:rPr>
          <w:rFonts w:ascii="Arial" w:hAnsi="Arial"/>
          <w:sz w:val="20"/>
        </w:rPr>
        <w:t>mHealth</w:t>
      </w:r>
      <w:proofErr w:type="spellEnd"/>
      <w:r w:rsidRPr="00CB1914">
        <w:rPr>
          <w:rFonts w:ascii="Arial" w:hAnsi="Arial"/>
          <w:sz w:val="20"/>
        </w:rPr>
        <w:t xml:space="preserve"> </w:t>
      </w:r>
      <w:hyperlink r:id="rId12" w:history="1">
        <w:r w:rsidRPr="00CB1914">
          <w:rPr>
            <w:rStyle w:val="Hyperlink"/>
            <w:rFonts w:ascii="Arial" w:hAnsi="Arial"/>
            <w:sz w:val="20"/>
          </w:rPr>
          <w:t>https://www.openmhealth.org/</w:t>
        </w:r>
      </w:hyperlink>
    </w:p>
    <w:p w:rsidR="00941EDC" w:rsidRPr="00CB1914" w:rsidRDefault="00294531" w:rsidP="00941EDC">
      <w:pPr>
        <w:rPr>
          <w:rFonts w:ascii="Arial" w:hAnsi="Arial"/>
          <w:sz w:val="20"/>
          <w:szCs w:val="24"/>
        </w:rPr>
      </w:pPr>
      <w:r w:rsidRPr="00CB1914">
        <w:rPr>
          <w:rFonts w:ascii="Arial" w:hAnsi="Arial"/>
          <w:sz w:val="20"/>
        </w:rPr>
        <w:t>Sensor-Enabled Elder Social Support Platform NIH / National Institute on Aging STTR Grant Number: 1R41AG035452-01 Final Report</w:t>
      </w:r>
      <w:r w:rsidRPr="00CB1914">
        <w:rPr>
          <w:rFonts w:ascii="Arial" w:hAnsi="Arial"/>
          <w:sz w:val="20"/>
          <w:szCs w:val="24"/>
        </w:rPr>
        <w:t xml:space="preserve"> </w:t>
      </w:r>
      <w:hyperlink r:id="rId13" w:history="1">
        <w:r w:rsidR="00941EDC" w:rsidRPr="00CB1914">
          <w:rPr>
            <w:rFonts w:ascii="Arial" w:hAnsi="Arial"/>
            <w:color w:val="0000FF"/>
            <w:sz w:val="20"/>
            <w:u w:val="single"/>
          </w:rPr>
          <w:t>http://brainjolt.com/reports/1R41AG035452-01_NIH-NIA-STTR-Final_Report.pdf</w:t>
        </w:r>
      </w:hyperlink>
    </w:p>
    <w:p w:rsidR="00432E8A" w:rsidRPr="00CB1914" w:rsidRDefault="00432E8A">
      <w:pPr>
        <w:rPr>
          <w:rFonts w:ascii="Arial" w:hAnsi="Arial"/>
          <w:sz w:val="20"/>
        </w:rPr>
      </w:pPr>
      <w:r w:rsidRPr="00CB1914">
        <w:rPr>
          <w:rFonts w:ascii="Arial" w:hAnsi="Arial"/>
          <w:sz w:val="20"/>
        </w:rPr>
        <w:t xml:space="preserve">Toward a Model for Collaborative </w:t>
      </w:r>
      <w:proofErr w:type="spellStart"/>
      <w:r w:rsidRPr="00CB1914">
        <w:rPr>
          <w:rFonts w:ascii="Arial" w:hAnsi="Arial"/>
          <w:sz w:val="20"/>
        </w:rPr>
        <w:t>Gerontechnology</w:t>
      </w:r>
      <w:proofErr w:type="spellEnd"/>
      <w:r w:rsidRPr="00CB1914">
        <w:rPr>
          <w:rFonts w:ascii="Arial" w:hAnsi="Arial"/>
          <w:sz w:val="20"/>
        </w:rPr>
        <w:t xml:space="preserve">: Connecting Elders and their Caregivers. </w:t>
      </w:r>
      <w:hyperlink r:id="rId14" w:history="1">
        <w:r w:rsidRPr="00CB1914">
          <w:rPr>
            <w:rFonts w:ascii="Arial" w:hAnsi="Arial"/>
            <w:color w:val="0000FF"/>
            <w:sz w:val="20"/>
            <w:u w:val="single"/>
          </w:rPr>
          <w:t>http://brainjolt.com/reports/collabgerontech_forBJ_site_Aug2017.pdf</w:t>
        </w:r>
      </w:hyperlink>
    </w:p>
    <w:p w:rsidR="00604817" w:rsidRPr="00CB1914" w:rsidRDefault="00604817">
      <w:pPr>
        <w:rPr>
          <w:rFonts w:ascii="Arial" w:hAnsi="Arial"/>
          <w:sz w:val="20"/>
        </w:rPr>
      </w:pPr>
      <w:r w:rsidRPr="00CB1914">
        <w:rPr>
          <w:rFonts w:ascii="Arial" w:hAnsi="Arial"/>
          <w:sz w:val="20"/>
        </w:rPr>
        <w:t xml:space="preserve">Use of Mobile Devices to Measure Outcomes in Clinical Research, 2010-2016: A Systematic Literature Review </w:t>
      </w:r>
      <w:hyperlink r:id="rId15" w:history="1">
        <w:r w:rsidRPr="00CB1914">
          <w:rPr>
            <w:rFonts w:ascii="Arial" w:hAnsi="Arial"/>
            <w:color w:val="0000FF"/>
            <w:sz w:val="20"/>
            <w:u w:val="single"/>
          </w:rPr>
          <w:t>https://www.karger.com/Article/Fulltext/486347</w:t>
        </w:r>
      </w:hyperlink>
    </w:p>
    <w:p w:rsidR="00D97E45" w:rsidRPr="00CB1914" w:rsidRDefault="00430C26" w:rsidP="00D97E45">
      <w:pPr>
        <w:rPr>
          <w:rStyle w:val="Hyperlink"/>
          <w:rFonts w:ascii="Arial" w:hAnsi="Arial"/>
          <w:sz w:val="20"/>
        </w:rPr>
      </w:pPr>
      <w:proofErr w:type="spellStart"/>
      <w:r w:rsidRPr="00CB1914">
        <w:rPr>
          <w:rFonts w:ascii="Arial" w:hAnsi="Arial"/>
          <w:sz w:val="20"/>
        </w:rPr>
        <w:t>XCertia</w:t>
      </w:r>
      <w:proofErr w:type="spellEnd"/>
      <w:r w:rsidRPr="00CB1914">
        <w:rPr>
          <w:rFonts w:ascii="Arial" w:hAnsi="Arial"/>
          <w:sz w:val="20"/>
        </w:rPr>
        <w:t xml:space="preserve"> </w:t>
      </w:r>
      <w:proofErr w:type="spellStart"/>
      <w:r w:rsidRPr="00CB1914">
        <w:rPr>
          <w:rFonts w:ascii="Arial" w:hAnsi="Arial"/>
          <w:sz w:val="20"/>
        </w:rPr>
        <w:t>mHealth</w:t>
      </w:r>
      <w:proofErr w:type="spellEnd"/>
      <w:r w:rsidRPr="00CB1914">
        <w:rPr>
          <w:rFonts w:ascii="Arial" w:hAnsi="Arial"/>
          <w:sz w:val="20"/>
        </w:rPr>
        <w:t xml:space="preserve"> App Guidelines </w:t>
      </w:r>
      <w:hyperlink r:id="rId16" w:history="1">
        <w:r w:rsidRPr="00CB1914">
          <w:rPr>
            <w:rStyle w:val="Hyperlink"/>
            <w:rFonts w:ascii="Arial" w:hAnsi="Arial"/>
            <w:sz w:val="20"/>
          </w:rPr>
          <w:t>https://xcertia.org/wp-content/uploads/2019/08/xcertia-guidelines-2019-final.pdf</w:t>
        </w:r>
      </w:hyperlink>
    </w:p>
    <w:p w:rsidR="008B171F" w:rsidRPr="00576C2F" w:rsidRDefault="008B171F" w:rsidP="00D97E45">
      <w:pPr>
        <w:rPr>
          <w:rFonts w:ascii="Arial" w:hAnsi="Arial" w:cs="OTNEJMQuadraatSmallCap"/>
          <w:sz w:val="20"/>
          <w:szCs w:val="20"/>
        </w:rPr>
      </w:pPr>
    </w:p>
    <w:sectPr w:rsidR="008B171F" w:rsidRPr="00576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TNEJMQuadraatSmallCap">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4950"/>
    <w:multiLevelType w:val="hybridMultilevel"/>
    <w:tmpl w:val="81F6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34417"/>
    <w:multiLevelType w:val="hybridMultilevel"/>
    <w:tmpl w:val="23FCCA22"/>
    <w:lvl w:ilvl="0" w:tplc="2BDC2448">
      <w:numFmt w:val="bullet"/>
      <w:lvlText w:val=""/>
      <w:lvlJc w:val="left"/>
      <w:pPr>
        <w:ind w:left="720" w:hanging="360"/>
      </w:pPr>
      <w:rPr>
        <w:rFonts w:ascii="Wingdings" w:eastAsiaTheme="minorHAnsi" w:hAnsi="Wingdings" w:cs="OTNEJMQuadraatSmallCa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E4C2A"/>
    <w:multiLevelType w:val="multilevel"/>
    <w:tmpl w:val="4100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74F2F"/>
    <w:multiLevelType w:val="multilevel"/>
    <w:tmpl w:val="E414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FE4278"/>
    <w:multiLevelType w:val="multilevel"/>
    <w:tmpl w:val="6EEC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822422"/>
    <w:multiLevelType w:val="hybridMultilevel"/>
    <w:tmpl w:val="ED8E1F26"/>
    <w:lvl w:ilvl="0" w:tplc="2BDC2448">
      <w:numFmt w:val="bullet"/>
      <w:lvlText w:val=""/>
      <w:lvlJc w:val="left"/>
      <w:pPr>
        <w:ind w:left="720" w:hanging="360"/>
      </w:pPr>
      <w:rPr>
        <w:rFonts w:ascii="Wingdings" w:eastAsiaTheme="minorHAnsi" w:hAnsi="Wingdings" w:cs="OTNEJMQuadraatSmallCa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F5CEB"/>
    <w:multiLevelType w:val="hybridMultilevel"/>
    <w:tmpl w:val="FDF09008"/>
    <w:lvl w:ilvl="0" w:tplc="2BDC2448">
      <w:numFmt w:val="bullet"/>
      <w:lvlText w:val=""/>
      <w:lvlJc w:val="left"/>
      <w:pPr>
        <w:ind w:left="720" w:hanging="360"/>
      </w:pPr>
      <w:rPr>
        <w:rFonts w:ascii="Wingdings" w:eastAsiaTheme="minorHAnsi" w:hAnsi="Wingdings" w:cs="OTNEJMQuadraatSmallCa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307BD"/>
    <w:multiLevelType w:val="multilevel"/>
    <w:tmpl w:val="06C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93B56"/>
    <w:multiLevelType w:val="multilevel"/>
    <w:tmpl w:val="180E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D65240"/>
    <w:multiLevelType w:val="multilevel"/>
    <w:tmpl w:val="6BFC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F32C8B"/>
    <w:multiLevelType w:val="multilevel"/>
    <w:tmpl w:val="18A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A5941"/>
    <w:multiLevelType w:val="multilevel"/>
    <w:tmpl w:val="B032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9830F6"/>
    <w:multiLevelType w:val="multilevel"/>
    <w:tmpl w:val="D6681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FF"/>
        <w:u w:val="single"/>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0556A"/>
    <w:multiLevelType w:val="multilevel"/>
    <w:tmpl w:val="3008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53E56"/>
    <w:multiLevelType w:val="multilevel"/>
    <w:tmpl w:val="43AC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B1CD8"/>
    <w:multiLevelType w:val="multilevel"/>
    <w:tmpl w:val="76AC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337413"/>
    <w:multiLevelType w:val="multilevel"/>
    <w:tmpl w:val="B45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F16FD"/>
    <w:multiLevelType w:val="hybridMultilevel"/>
    <w:tmpl w:val="2528E7A2"/>
    <w:lvl w:ilvl="0" w:tplc="2BDC2448">
      <w:numFmt w:val="bullet"/>
      <w:lvlText w:val=""/>
      <w:lvlJc w:val="left"/>
      <w:pPr>
        <w:ind w:left="720" w:hanging="360"/>
      </w:pPr>
      <w:rPr>
        <w:rFonts w:ascii="Wingdings" w:eastAsiaTheme="minorHAnsi" w:hAnsi="Wingdings" w:cs="OTNEJMQuadraatSmallCa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96282"/>
    <w:multiLevelType w:val="multilevel"/>
    <w:tmpl w:val="CBD6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F736AD"/>
    <w:multiLevelType w:val="multilevel"/>
    <w:tmpl w:val="8AD2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EC2710"/>
    <w:multiLevelType w:val="multilevel"/>
    <w:tmpl w:val="970C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C07929"/>
    <w:multiLevelType w:val="multilevel"/>
    <w:tmpl w:val="F22A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4D1813"/>
    <w:multiLevelType w:val="hybridMultilevel"/>
    <w:tmpl w:val="8364F65C"/>
    <w:lvl w:ilvl="0" w:tplc="2BDC2448">
      <w:numFmt w:val="bullet"/>
      <w:lvlText w:val=""/>
      <w:lvlJc w:val="left"/>
      <w:pPr>
        <w:ind w:left="720" w:hanging="360"/>
      </w:pPr>
      <w:rPr>
        <w:rFonts w:ascii="Wingdings" w:eastAsiaTheme="minorHAnsi" w:hAnsi="Wingdings" w:cs="OTNEJMQuadraatSmallCa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D72D0"/>
    <w:multiLevelType w:val="multilevel"/>
    <w:tmpl w:val="E9E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7"/>
  </w:num>
  <w:num w:numId="4">
    <w:abstractNumId w:val="12"/>
  </w:num>
  <w:num w:numId="5">
    <w:abstractNumId w:val="14"/>
  </w:num>
  <w:num w:numId="6">
    <w:abstractNumId w:val="16"/>
  </w:num>
  <w:num w:numId="7">
    <w:abstractNumId w:val="8"/>
  </w:num>
  <w:num w:numId="8">
    <w:abstractNumId w:val="21"/>
  </w:num>
  <w:num w:numId="9">
    <w:abstractNumId w:val="15"/>
  </w:num>
  <w:num w:numId="10">
    <w:abstractNumId w:val="4"/>
  </w:num>
  <w:num w:numId="11">
    <w:abstractNumId w:val="3"/>
  </w:num>
  <w:num w:numId="12">
    <w:abstractNumId w:val="11"/>
  </w:num>
  <w:num w:numId="13">
    <w:abstractNumId w:val="20"/>
  </w:num>
  <w:num w:numId="14">
    <w:abstractNumId w:val="13"/>
  </w:num>
  <w:num w:numId="15">
    <w:abstractNumId w:val="19"/>
  </w:num>
  <w:num w:numId="16">
    <w:abstractNumId w:val="18"/>
  </w:num>
  <w:num w:numId="17">
    <w:abstractNumId w:val="9"/>
  </w:num>
  <w:num w:numId="18">
    <w:abstractNumId w:val="2"/>
  </w:num>
  <w:num w:numId="19">
    <w:abstractNumId w:val="1"/>
  </w:num>
  <w:num w:numId="20">
    <w:abstractNumId w:val="17"/>
  </w:num>
  <w:num w:numId="21">
    <w:abstractNumId w:val="22"/>
  </w:num>
  <w:num w:numId="22">
    <w:abstractNumId w:val="5"/>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FC"/>
    <w:rsid w:val="00013645"/>
    <w:rsid w:val="00037596"/>
    <w:rsid w:val="00071CD5"/>
    <w:rsid w:val="000A4D0B"/>
    <w:rsid w:val="000C23BA"/>
    <w:rsid w:val="000F3D43"/>
    <w:rsid w:val="0013315B"/>
    <w:rsid w:val="0014672A"/>
    <w:rsid w:val="001D7B2F"/>
    <w:rsid w:val="00215201"/>
    <w:rsid w:val="00285AF8"/>
    <w:rsid w:val="002935C5"/>
    <w:rsid w:val="00294531"/>
    <w:rsid w:val="002B0402"/>
    <w:rsid w:val="002B5501"/>
    <w:rsid w:val="002C676E"/>
    <w:rsid w:val="002E6D9A"/>
    <w:rsid w:val="003254A5"/>
    <w:rsid w:val="00376B41"/>
    <w:rsid w:val="003916D0"/>
    <w:rsid w:val="003C2019"/>
    <w:rsid w:val="003C3E80"/>
    <w:rsid w:val="003C4B51"/>
    <w:rsid w:val="003D4477"/>
    <w:rsid w:val="003F479F"/>
    <w:rsid w:val="00430C26"/>
    <w:rsid w:val="00432E8A"/>
    <w:rsid w:val="00433316"/>
    <w:rsid w:val="004F02C8"/>
    <w:rsid w:val="00502651"/>
    <w:rsid w:val="00517815"/>
    <w:rsid w:val="00526600"/>
    <w:rsid w:val="00544EDF"/>
    <w:rsid w:val="005756FD"/>
    <w:rsid w:val="00576C2F"/>
    <w:rsid w:val="005C71C7"/>
    <w:rsid w:val="005C72D7"/>
    <w:rsid w:val="00604817"/>
    <w:rsid w:val="00623297"/>
    <w:rsid w:val="00634844"/>
    <w:rsid w:val="006B6554"/>
    <w:rsid w:val="006E1776"/>
    <w:rsid w:val="00710DF6"/>
    <w:rsid w:val="00731EFB"/>
    <w:rsid w:val="00771807"/>
    <w:rsid w:val="00784249"/>
    <w:rsid w:val="00794FFC"/>
    <w:rsid w:val="007A5D93"/>
    <w:rsid w:val="007C12B9"/>
    <w:rsid w:val="007E36A0"/>
    <w:rsid w:val="007E6B94"/>
    <w:rsid w:val="00817657"/>
    <w:rsid w:val="00825E76"/>
    <w:rsid w:val="00842DE2"/>
    <w:rsid w:val="0087382E"/>
    <w:rsid w:val="008B0F42"/>
    <w:rsid w:val="008B171F"/>
    <w:rsid w:val="008F7C59"/>
    <w:rsid w:val="00912C02"/>
    <w:rsid w:val="00941EDC"/>
    <w:rsid w:val="009B4E0A"/>
    <w:rsid w:val="009C2B13"/>
    <w:rsid w:val="009E2EEE"/>
    <w:rsid w:val="00A044F4"/>
    <w:rsid w:val="00A22121"/>
    <w:rsid w:val="00A47EA2"/>
    <w:rsid w:val="00A54671"/>
    <w:rsid w:val="00A705E3"/>
    <w:rsid w:val="00AF2913"/>
    <w:rsid w:val="00B472AC"/>
    <w:rsid w:val="00B81D03"/>
    <w:rsid w:val="00B8289D"/>
    <w:rsid w:val="00B918C3"/>
    <w:rsid w:val="00BD309D"/>
    <w:rsid w:val="00BE1429"/>
    <w:rsid w:val="00C647FE"/>
    <w:rsid w:val="00C653A1"/>
    <w:rsid w:val="00CA5383"/>
    <w:rsid w:val="00CB1914"/>
    <w:rsid w:val="00D0264B"/>
    <w:rsid w:val="00D16DEB"/>
    <w:rsid w:val="00D36E05"/>
    <w:rsid w:val="00D463F5"/>
    <w:rsid w:val="00D55837"/>
    <w:rsid w:val="00D97E45"/>
    <w:rsid w:val="00DE0516"/>
    <w:rsid w:val="00E65DD5"/>
    <w:rsid w:val="00E7311A"/>
    <w:rsid w:val="00EC010D"/>
    <w:rsid w:val="00F350DF"/>
    <w:rsid w:val="00F50CA8"/>
    <w:rsid w:val="00F61FBF"/>
    <w:rsid w:val="00F646F2"/>
    <w:rsid w:val="00F86AE2"/>
    <w:rsid w:val="00FA1FC2"/>
    <w:rsid w:val="00FB1B61"/>
    <w:rsid w:val="00FC65F8"/>
    <w:rsid w:val="00FC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9D753-6E52-43B4-B341-5ED5B5AB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6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CD5"/>
    <w:rPr>
      <w:color w:val="0000FF"/>
      <w:u w:val="single"/>
    </w:rPr>
  </w:style>
  <w:style w:type="character" w:customStyle="1" w:styleId="Heading1Char">
    <w:name w:val="Heading 1 Char"/>
    <w:basedOn w:val="DefaultParagraphFont"/>
    <w:link w:val="Heading1"/>
    <w:uiPriority w:val="9"/>
    <w:rsid w:val="000136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A1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FC2"/>
    <w:rPr>
      <w:rFonts w:ascii="Segoe UI" w:hAnsi="Segoe UI" w:cs="Segoe UI"/>
      <w:sz w:val="18"/>
      <w:szCs w:val="18"/>
    </w:rPr>
  </w:style>
  <w:style w:type="paragraph" w:styleId="NormalWeb">
    <w:name w:val="Normal (Web)"/>
    <w:basedOn w:val="Normal"/>
    <w:uiPriority w:val="99"/>
    <w:unhideWhenUsed/>
    <w:rsid w:val="00A47E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7E45"/>
    <w:pPr>
      <w:ind w:left="720"/>
      <w:contextualSpacing/>
    </w:pPr>
  </w:style>
  <w:style w:type="character" w:customStyle="1" w:styleId="caps">
    <w:name w:val="caps"/>
    <w:basedOn w:val="DefaultParagraphFont"/>
    <w:rsid w:val="00D97E45"/>
  </w:style>
  <w:style w:type="character" w:styleId="FollowedHyperlink">
    <w:name w:val="FollowedHyperlink"/>
    <w:basedOn w:val="DefaultParagraphFont"/>
    <w:uiPriority w:val="99"/>
    <w:semiHidden/>
    <w:unhideWhenUsed/>
    <w:rsid w:val="00B81D03"/>
    <w:rPr>
      <w:color w:val="954F72" w:themeColor="followedHyperlink"/>
      <w:u w:val="single"/>
    </w:rPr>
  </w:style>
  <w:style w:type="table" w:styleId="TableGrid">
    <w:name w:val="Table Grid"/>
    <w:basedOn w:val="TableNormal"/>
    <w:uiPriority w:val="39"/>
    <w:rsid w:val="00FC6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864">
      <w:bodyDiv w:val="1"/>
      <w:marLeft w:val="0"/>
      <w:marRight w:val="0"/>
      <w:marTop w:val="0"/>
      <w:marBottom w:val="0"/>
      <w:divBdr>
        <w:top w:val="none" w:sz="0" w:space="0" w:color="auto"/>
        <w:left w:val="none" w:sz="0" w:space="0" w:color="auto"/>
        <w:bottom w:val="none" w:sz="0" w:space="0" w:color="auto"/>
        <w:right w:val="none" w:sz="0" w:space="0" w:color="auto"/>
      </w:divBdr>
    </w:div>
    <w:div w:id="118691625">
      <w:bodyDiv w:val="1"/>
      <w:marLeft w:val="0"/>
      <w:marRight w:val="0"/>
      <w:marTop w:val="0"/>
      <w:marBottom w:val="0"/>
      <w:divBdr>
        <w:top w:val="none" w:sz="0" w:space="0" w:color="auto"/>
        <w:left w:val="none" w:sz="0" w:space="0" w:color="auto"/>
        <w:bottom w:val="none" w:sz="0" w:space="0" w:color="auto"/>
        <w:right w:val="none" w:sz="0" w:space="0" w:color="auto"/>
      </w:divBdr>
    </w:div>
    <w:div w:id="224731053">
      <w:bodyDiv w:val="1"/>
      <w:marLeft w:val="0"/>
      <w:marRight w:val="0"/>
      <w:marTop w:val="0"/>
      <w:marBottom w:val="0"/>
      <w:divBdr>
        <w:top w:val="none" w:sz="0" w:space="0" w:color="auto"/>
        <w:left w:val="none" w:sz="0" w:space="0" w:color="auto"/>
        <w:bottom w:val="none" w:sz="0" w:space="0" w:color="auto"/>
        <w:right w:val="none" w:sz="0" w:space="0" w:color="auto"/>
      </w:divBdr>
    </w:div>
    <w:div w:id="302659273">
      <w:bodyDiv w:val="1"/>
      <w:marLeft w:val="0"/>
      <w:marRight w:val="0"/>
      <w:marTop w:val="0"/>
      <w:marBottom w:val="0"/>
      <w:divBdr>
        <w:top w:val="none" w:sz="0" w:space="0" w:color="auto"/>
        <w:left w:val="none" w:sz="0" w:space="0" w:color="auto"/>
        <w:bottom w:val="none" w:sz="0" w:space="0" w:color="auto"/>
        <w:right w:val="none" w:sz="0" w:space="0" w:color="auto"/>
      </w:divBdr>
    </w:div>
    <w:div w:id="376977814">
      <w:bodyDiv w:val="1"/>
      <w:marLeft w:val="0"/>
      <w:marRight w:val="0"/>
      <w:marTop w:val="0"/>
      <w:marBottom w:val="0"/>
      <w:divBdr>
        <w:top w:val="none" w:sz="0" w:space="0" w:color="auto"/>
        <w:left w:val="none" w:sz="0" w:space="0" w:color="auto"/>
        <w:bottom w:val="none" w:sz="0" w:space="0" w:color="auto"/>
        <w:right w:val="none" w:sz="0" w:space="0" w:color="auto"/>
      </w:divBdr>
    </w:div>
    <w:div w:id="782846943">
      <w:bodyDiv w:val="1"/>
      <w:marLeft w:val="0"/>
      <w:marRight w:val="0"/>
      <w:marTop w:val="0"/>
      <w:marBottom w:val="0"/>
      <w:divBdr>
        <w:top w:val="none" w:sz="0" w:space="0" w:color="auto"/>
        <w:left w:val="none" w:sz="0" w:space="0" w:color="auto"/>
        <w:bottom w:val="none" w:sz="0" w:space="0" w:color="auto"/>
        <w:right w:val="none" w:sz="0" w:space="0" w:color="auto"/>
      </w:divBdr>
    </w:div>
    <w:div w:id="822434495">
      <w:bodyDiv w:val="1"/>
      <w:marLeft w:val="0"/>
      <w:marRight w:val="0"/>
      <w:marTop w:val="0"/>
      <w:marBottom w:val="0"/>
      <w:divBdr>
        <w:top w:val="none" w:sz="0" w:space="0" w:color="auto"/>
        <w:left w:val="none" w:sz="0" w:space="0" w:color="auto"/>
        <w:bottom w:val="none" w:sz="0" w:space="0" w:color="auto"/>
        <w:right w:val="none" w:sz="0" w:space="0" w:color="auto"/>
      </w:divBdr>
    </w:div>
    <w:div w:id="1098797392">
      <w:bodyDiv w:val="1"/>
      <w:marLeft w:val="0"/>
      <w:marRight w:val="0"/>
      <w:marTop w:val="0"/>
      <w:marBottom w:val="0"/>
      <w:divBdr>
        <w:top w:val="none" w:sz="0" w:space="0" w:color="auto"/>
        <w:left w:val="none" w:sz="0" w:space="0" w:color="auto"/>
        <w:bottom w:val="none" w:sz="0" w:space="0" w:color="auto"/>
        <w:right w:val="none" w:sz="0" w:space="0" w:color="auto"/>
      </w:divBdr>
    </w:div>
    <w:div w:id="1357196134">
      <w:bodyDiv w:val="1"/>
      <w:marLeft w:val="0"/>
      <w:marRight w:val="0"/>
      <w:marTop w:val="0"/>
      <w:marBottom w:val="0"/>
      <w:divBdr>
        <w:top w:val="none" w:sz="0" w:space="0" w:color="auto"/>
        <w:left w:val="none" w:sz="0" w:space="0" w:color="auto"/>
        <w:bottom w:val="none" w:sz="0" w:space="0" w:color="auto"/>
        <w:right w:val="none" w:sz="0" w:space="0" w:color="auto"/>
      </w:divBdr>
    </w:div>
    <w:div w:id="1570574740">
      <w:bodyDiv w:val="1"/>
      <w:marLeft w:val="0"/>
      <w:marRight w:val="0"/>
      <w:marTop w:val="0"/>
      <w:marBottom w:val="0"/>
      <w:divBdr>
        <w:top w:val="none" w:sz="0" w:space="0" w:color="auto"/>
        <w:left w:val="none" w:sz="0" w:space="0" w:color="auto"/>
        <w:bottom w:val="none" w:sz="0" w:space="0" w:color="auto"/>
        <w:right w:val="none" w:sz="0" w:space="0" w:color="auto"/>
      </w:divBdr>
    </w:div>
    <w:div w:id="1635332950">
      <w:bodyDiv w:val="1"/>
      <w:marLeft w:val="0"/>
      <w:marRight w:val="0"/>
      <w:marTop w:val="0"/>
      <w:marBottom w:val="0"/>
      <w:divBdr>
        <w:top w:val="none" w:sz="0" w:space="0" w:color="auto"/>
        <w:left w:val="none" w:sz="0" w:space="0" w:color="auto"/>
        <w:bottom w:val="none" w:sz="0" w:space="0" w:color="auto"/>
        <w:right w:val="none" w:sz="0" w:space="0" w:color="auto"/>
      </w:divBdr>
    </w:div>
    <w:div w:id="1661691203">
      <w:bodyDiv w:val="1"/>
      <w:marLeft w:val="0"/>
      <w:marRight w:val="0"/>
      <w:marTop w:val="0"/>
      <w:marBottom w:val="0"/>
      <w:divBdr>
        <w:top w:val="none" w:sz="0" w:space="0" w:color="auto"/>
        <w:left w:val="none" w:sz="0" w:space="0" w:color="auto"/>
        <w:bottom w:val="none" w:sz="0" w:space="0" w:color="auto"/>
        <w:right w:val="none" w:sz="0" w:space="0" w:color="auto"/>
      </w:divBdr>
    </w:div>
    <w:div w:id="1683314261">
      <w:bodyDiv w:val="1"/>
      <w:marLeft w:val="0"/>
      <w:marRight w:val="0"/>
      <w:marTop w:val="0"/>
      <w:marBottom w:val="0"/>
      <w:divBdr>
        <w:top w:val="none" w:sz="0" w:space="0" w:color="auto"/>
        <w:left w:val="none" w:sz="0" w:space="0" w:color="auto"/>
        <w:bottom w:val="none" w:sz="0" w:space="0" w:color="auto"/>
        <w:right w:val="none" w:sz="0" w:space="0" w:color="auto"/>
      </w:divBdr>
    </w:div>
    <w:div w:id="1784231279">
      <w:bodyDiv w:val="1"/>
      <w:marLeft w:val="0"/>
      <w:marRight w:val="0"/>
      <w:marTop w:val="0"/>
      <w:marBottom w:val="0"/>
      <w:divBdr>
        <w:top w:val="none" w:sz="0" w:space="0" w:color="auto"/>
        <w:left w:val="none" w:sz="0" w:space="0" w:color="auto"/>
        <w:bottom w:val="none" w:sz="0" w:space="0" w:color="auto"/>
        <w:right w:val="none" w:sz="0" w:space="0" w:color="auto"/>
      </w:divBdr>
      <w:divsChild>
        <w:div w:id="180432185">
          <w:marLeft w:val="0"/>
          <w:marRight w:val="0"/>
          <w:marTop w:val="0"/>
          <w:marBottom w:val="225"/>
          <w:divBdr>
            <w:top w:val="none" w:sz="0" w:space="0" w:color="auto"/>
            <w:left w:val="none" w:sz="0" w:space="0" w:color="auto"/>
            <w:bottom w:val="none" w:sz="0" w:space="0" w:color="auto"/>
            <w:right w:val="none" w:sz="0" w:space="0" w:color="auto"/>
          </w:divBdr>
        </w:div>
      </w:divsChild>
    </w:div>
    <w:div w:id="1884320232">
      <w:bodyDiv w:val="1"/>
      <w:marLeft w:val="0"/>
      <w:marRight w:val="0"/>
      <w:marTop w:val="0"/>
      <w:marBottom w:val="0"/>
      <w:divBdr>
        <w:top w:val="none" w:sz="0" w:space="0" w:color="auto"/>
        <w:left w:val="none" w:sz="0" w:space="0" w:color="auto"/>
        <w:bottom w:val="none" w:sz="0" w:space="0" w:color="auto"/>
        <w:right w:val="none" w:sz="0" w:space="0" w:color="auto"/>
      </w:divBdr>
    </w:div>
    <w:div w:id="212029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dards.ieee.org/project/7002.html" TargetMode="External"/><Relationship Id="rId13" Type="http://schemas.openxmlformats.org/officeDocument/2006/relationships/hyperlink" Target="http://brainjolt.com/reports/1R41AG035452-01_NIH-NIA-STTR-Final_Repor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ieee.org/sagroups-1752/" TargetMode="External"/><Relationship Id="rId12" Type="http://schemas.openxmlformats.org/officeDocument/2006/relationships/hyperlink" Target="https://www.openmhealth.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xcertia.org/wp-content/uploads/2019/08/xcertia-guidelines-2019-final.pdf" TargetMode="External"/><Relationship Id="rId1" Type="http://schemas.openxmlformats.org/officeDocument/2006/relationships/numbering" Target="numbering.xml"/><Relationship Id="rId6" Type="http://schemas.openxmlformats.org/officeDocument/2006/relationships/hyperlink" Target="https://www.hl7.org/fhir/overview.html" TargetMode="External"/><Relationship Id="rId11" Type="http://schemas.openxmlformats.org/officeDocument/2006/relationships/hyperlink" Target="http://brainjolt.com/reports/1R41AG037216-01_NIA-STTR-Final.pdf" TargetMode="External"/><Relationship Id="rId5" Type="http://schemas.openxmlformats.org/officeDocument/2006/relationships/hyperlink" Target="http://brainjolt.com/" TargetMode="External"/><Relationship Id="rId15" Type="http://schemas.openxmlformats.org/officeDocument/2006/relationships/hyperlink" Target="https://www.karger.com/Article/Fulltext/486347" TargetMode="External"/><Relationship Id="rId10" Type="http://schemas.openxmlformats.org/officeDocument/2006/relationships/hyperlink" Target="https://www.federalregister.gov/documents/2018/11/14/2018-24714/developing-a-privacy-framework" TargetMode="External"/><Relationship Id="rId4" Type="http://schemas.openxmlformats.org/officeDocument/2006/relationships/webSettings" Target="webSettings.xml"/><Relationship Id="rId9" Type="http://schemas.openxmlformats.org/officeDocument/2006/relationships/hyperlink" Target="https://www.nejm.org/doi/full/10.1056/NEJMra1806949" TargetMode="External"/><Relationship Id="rId14" Type="http://schemas.openxmlformats.org/officeDocument/2006/relationships/hyperlink" Target="http://brainjolt.com/reports/collabgerontech_forBJ_site_Aug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Benay Dara-Abrams</dc:creator>
  <cp:keywords/>
  <dc:description/>
  <cp:lastModifiedBy>Benay Dara-Abrams</cp:lastModifiedBy>
  <cp:revision>15</cp:revision>
  <cp:lastPrinted>2020-01-17T06:26:00Z</cp:lastPrinted>
  <dcterms:created xsi:type="dcterms:W3CDTF">2020-01-17T04:38:00Z</dcterms:created>
  <dcterms:modified xsi:type="dcterms:W3CDTF">2020-01-17T17:46:00Z</dcterms:modified>
</cp:coreProperties>
</file>