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City Budget Brief</w:t>
      </w:r>
    </w:p>
    <w:p>
      <w:r>
        <w:t xml:space="preserve">The finance office reported that transit ridership recovered to 92% of pre-2020 levels</w:t>
      </w:r>
      <w:r>
        <w:rPr>
          <w:rStyle w:val="FootnoteReference"/>
        </w:rPr>
        <w:footnoteReference w:id="1"/>
      </w:r>
      <w:r>
        <w:t xml:space="preserve">, while fuel costs for the municipal fleet rose by 14% year over year</w:t>
      </w:r>
      <w:r>
        <w:rPr>
          <w:rStyle w:val="FootnoteReference"/>
        </w:rPr>
        <w:footnoteReference w:id="2"/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t xml:space="preserve">Council also approved a reserve transfer of $3.5 million</w:t>
      </w:r>
      <w:r>
        <w:rPr>
          <w:rStyle w:val="FootnoteReference"/>
        </w:rPr>
        <w:footnoteReference w:id="3"/>
      </w:r>
      <w:r>
        <w:t xml:space="preserve"> to cover storm drain repairs identified after the spring audit</w:t>
      </w:r>
      <w:r>
        <w:rPr>
          <w:rStyle w:val="FootnoteReference"/>
        </w:rPr>
        <w:footnoteReference w:id="4"/>
      </w:r>
      <w:r>
        <w:t xml:space="preserve">, but deferred sidewalk lighting upgrades until next quarter</w:t>
      </w:r>
      <w:r>
        <w:rPr>
          <w:rStyle w:val="FootnoteReference"/>
        </w:rPr>
        <w:footnoteReference w:id="5"/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Ridership estimate is based on fare-gate counts from January through September.</w:t>
      </w:r>
    </w:p>
  </w:footnote>
  <w:footnote w:id="2">
    <w:p>
      <w:r>
        <w:rPr>
          <w:rStyle w:val="FootnoteReference"/>
        </w:rPr>
        <w:footnoteRef/>
      </w:r>
      <w:r>
        <w:t xml:space="preserve">Fuel costs reflect blended diesel and gasoline purchasing contracts.</w:t>
      </w:r>
    </w:p>
  </w:footnote>
  <w:footnote w:id="3">
    <w:p>
      <w:r>
        <w:rPr>
          <w:rStyle w:val="FootnoteReference"/>
        </w:rPr>
        <w:footnoteRef/>
      </w:r>
      <w:r>
        <w:t xml:space="preserve">The transfer comes from the capital stabilization reserve.</w:t>
      </w:r>
    </w:p>
  </w:footnote>
  <w:footnote w:id="4">
    <w:p>
      <w:r>
        <w:rPr>
          <w:rStyle w:val="FootnoteReference"/>
        </w:rPr>
        <w:footnoteRef/>
      </w:r>
      <w:r>
        <w:t xml:space="preserve">The audit reviewed 118 drain segments across three districts.</w:t>
      </w:r>
    </w:p>
  </w:footnote>
  <w:footnote w:id="5">
    <w:p>
      <w:r>
        <w:rPr>
          <w:rStyle w:val="FootnoteReference"/>
        </w:rPr>
        <w:footnoteRef/>
      </w:r>
      <w:r>
        <w:t xml:space="preserve">Lighting upgrades were postponed pending revised contractor bids.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2026-08-01T03:33:31.328Z</dcterms:created>
  <dcterms:modified xsi:type="dcterms:W3CDTF">2026-08-01T03:33:31.328Z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