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Quarterly Operations Review</w:t>
      </w:r>
    </w:p>
    <w:p>
      <w:pPr>
        <w:pStyle w:val="Heading3"/>
      </w:pPr>
      <w:r>
        <w:rPr>
          <w:b w:val="false"/>
          <w:bCs w:val="false"/>
          <w:i w:val="false"/>
          <w:iCs w:val="false"/>
          <w:strike w:val="false"/>
        </w:rPr>
        <w:t xml:space="preserve">Warehouse Exceptions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East Hub reported a brief rise in misroutes during the second week of April, but corrective scanning checks brought the rate back under target by month end.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Site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Misroutes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Action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East Hub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Retrained night shift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North Annex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Adjusted sorter timing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strike w:val="false"/>
        </w:rPr>
        <w:t xml:space="preserve">Follow-up Actions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Audit scanner calibration every Friday for the next six weeks.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Publish a one-page exception guide to shift supervisors.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2026-08-01T03:33:31.471Z</dcterms:created>
  <dcterms:modified xsi:type="dcterms:W3CDTF">2026-08-01T03:33:31.471Z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