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rPr>
          <w:b w:val="false"/>
          <w:bCs w:val="false"/>
          <w:i w:val="false"/>
          <w:iCs w:val="false"/>
          <w:strike w:val="false"/>
        </w:rPr>
        <w:t xml:space="preserve">Quarterly Sales Snapshot</w:t>
      </w:r>
    </w:p>
    <w:p>
      <w:r>
        <w:rPr>
          <w:b w:val="false"/>
          <w:bCs w:val="false"/>
          <w:i w:val="false"/>
          <w:iCs w:val="false"/>
          <w:strike w:val="false"/>
        </w:rPr>
        <w:t xml:space="preserve">The table groups quarters under merged regional headers, which can be lost in Markdown conversion.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Product</w:t>
            </w:r>
          </w:p>
        </w:tc>
        <w:tc>
          <w:tcPr>
            <w:gridSpan w:val="2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North America</w:t>
            </w:r>
          </w:p>
        </w:tc>
        <w:tc>
          <w:tcPr>
            <w:gridSpan w:val="2"/>
          </w:tcPr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Europe</w:t>
            </w:r>
          </w:p>
        </w:tc>
      </w:tr>
      <w:tr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Product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Q1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Q2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Q1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Q2</w:t>
            </w:r>
          </w:p>
        </w:tc>
      </w:tr>
      <w:tr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Trail Shoes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$1.2M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$1.4M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€860K</w:t>
            </w:r>
          </w:p>
        </w:tc>
        <w:tc>
          <w:p>
            <w:r>
              <w:rPr>
                <w:b w:val="false"/>
                <w:bCs w:val="false"/>
                <w:i w:val="false"/>
                <w:iCs w:val="false"/>
                <w:strike w:val="false"/>
              </w:rPr>
              <w:t xml:space="preserve">€910K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2026-08-01T03:33:31.481Z</dcterms:created>
  <dcterms:modified xsi:type="dcterms:W3CDTF">2026-08-01T03:33:31.481Z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