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b w:val="false"/>
          <w:bCs w:val="false"/>
          <w:i w:val="false"/>
          <w:iCs w:val="false"/>
          <w:strike w:val="false"/>
        </w:rPr>
        <w:t xml:space="preserve">Regional Sales Snapshot</w:t>
      </w:r>
    </w:p>
    <w:p>
      <w:r>
        <w:rPr>
          <w:b w:val="false"/>
          <w:bCs w:val="false"/>
          <w:i w:val="false"/>
          <w:iCs w:val="false"/>
          <w:strike w:val="false"/>
        </w:rPr>
        <w:t xml:space="preserve">The table groups monthly figures under merged quarter headers, which can be difficult to preserve when converting to Markdown.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Region</w:t>
            </w:r>
          </w:p>
        </w:tc>
        <w:tc>
          <w:tcPr>
            <w:gridSpan w:val="3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Q1</w:t>
            </w:r>
          </w:p>
        </w:tc>
        <w:tc>
          <w:tcPr>
            <w:gridSpan w:val="3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Q2</w:t>
            </w:r>
          </w:p>
        </w:tc>
      </w:tr>
      <w:tr>
        <w:tc>
          <w:tcPr>
            <w:vMerge w:val="continue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Jan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Feb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Mar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Apr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May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Jun</w:t>
            </w:r>
          </w:p>
        </w:tc>
      </w:tr>
      <w:tr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Midwest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$118k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$121k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$127k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$130k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$126k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$134k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2026-08-01T03:33:31.491Z</dcterms:created>
  <dcterms:modified xsi:type="dcterms:W3CDTF">2026-08-01T03:33:31.491Z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