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b w:val="false"/>
          <w:bCs w:val="false"/>
          <w:i w:val="false"/>
          <w:iCs w:val="false"/>
          <w:strike w:val="false"/>
        </w:rPr>
        <w:t xml:space="preserve">Q3 Launch Readiness</w:t>
      </w:r>
    </w:p>
    <w:p>
      <w:r>
        <w:rPr>
          <w:b w:val="false"/>
          <w:bCs w:val="false"/>
          <w:i w:val="false"/>
          <w:iCs w:val="false"/>
          <w:strike w:val="false"/>
        </w:rPr>
        <w:t xml:space="preserve">The team tracks launch owners and open items in the table below; the risks cell includes its own bullet-style list.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Workstream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Owner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Open risks</w:t>
            </w:r>
          </w:p>
        </w:tc>
      </w:tr>
      <w:tr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Payments rollout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Nina Shah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• Fraud rules not tuned for new region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
• Settlement report still missing weekend totals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
• Support macros need updated refund wording</w:t>
            </w:r>
          </w:p>
        </w:tc>
      </w:tr>
      <w:tr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Status page refresh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Leo Martin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No blocking issues; legal review scheduled Thursday.</w:t>
            </w:r>
          </w:p>
        </w:tc>
      </w:tr>
    </w:tbl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Confirm whether nested bullets inside table cells are preserved as in-cell content rather than promoted to a document-level list.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2026-08-01T03:33:31.545Z</dcterms:created>
  <dcterms:modified xsi:type="dcterms:W3CDTF">2026-08-01T03:33:31.545Z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