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Release Readiness Checklist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This snapshot from the launch review groups two deployment tasks under the same owner.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Owner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Task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</w:t>
            </w:r>
          </w:p>
        </w:tc>
      </w:tr>
      <w:tr>
        <w:tc>
          <w:tcPr>
            <w:vMerge w:val="restart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Mina Patel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Finalize rollback steps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Done</w:t>
            </w:r>
          </w:p>
        </w:tc>
      </w:tr>
      <w:tr>
        <w:tc>
          <w:tcPr>
            <w:vMerge w:val="continue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Verify production feature flags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 progress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Rafael Ortiz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Approve customer notice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Blocked</w:t>
            </w:r>
          </w:p>
        </w:tc>
      </w:tr>
    </w:tbl>
    <w:p>
      <w:r>
        <w:rPr>
          <w:b w:val="false"/>
          <w:bCs w:val="false"/>
          <w:i w:val="false"/>
          <w:iCs w:val="false"/>
          <w:strike w:val="false"/>
        </w:rPr>
        <w:t xml:space="preserve">The merged owner cell should remain associated with both deployment tasks after conversion.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2026-08-01T03:33:31.575Z</dcterms:created>
  <dcterms:modified xsi:type="dcterms:W3CDTF">2026-08-01T03:33:31.575Z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