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36"/>
        </w:rPr>
        <w:t>SAFETY DATA SHEET SUMMARY</w:t>
      </w:r>
    </w:p>
    <w:p>
      <w:pPr>
        <w:jc w:val="center"/>
      </w:pPr>
      <w:r>
        <w:rPr>
          <w:i/>
          <w:color w:val="444444"/>
          <w:sz w:val="24"/>
        </w:rPr>
        <w:t>{{product_name}}</w:t>
      </w:r>
    </w:p>
    <w:p>
      <w:pPr>
        <w:pBdr>
          <w:bottom w:val="single" w:sz="12" w:color="1F3A5F"/>
        </w:pBdr>
      </w:pPr>
    </w:p>
    <w:p/>
    <w:p>
      <w:pPr>
        <w:pStyle w:val="Heading1"/>
        <w:spacing w:before="280" w:after="80"/>
      </w:pPr>
      <w:r>
        <w:rPr>
          <w:b/>
          <w:color w:val="1F3A5F"/>
          <w:sz w:val="25"/>
        </w:rPr>
        <w:t>SUBSTANCE OVERVIEW</w:t>
      </w:r>
    </w:p>
    <w:p>
      <w:pPr>
        <w:spacing w:after="120"/>
      </w:pPr>
      <w:r>
        <w:rPr>
          <w:b/>
        </w:rPr>
        <w:t xml:space="preserve">Substance Name: </w:t>
      </w:r>
      <w:r>
        <w:t>{{product_name}}</w:t>
      </w:r>
    </w:p>
    <w:p>
      <w:pPr>
        <w:spacing w:after="120"/>
      </w:pPr>
      <w:r>
        <w:rPr>
          <w:b/>
        </w:rPr>
        <w:t xml:space="preserve">CAS Number: </w:t>
      </w:r>
      <w:r>
        <w:t>{{cas_number_display}}</w:t>
      </w:r>
    </w:p>
    <w:p>
      <w:pPr>
        <w:spacing w:after="120"/>
      </w:pPr>
      <w:r>
        <w:rPr>
          <w:b/>
        </w:rPr>
        <w:t xml:space="preserve">SDS Version &amp; Date: </w:t>
      </w:r>
      <w:r>
        <w:t>{{sds_version_date}}</w:t>
      </w:r>
    </w:p>
    <w:p>
      <w:pPr>
        <w:spacing w:after="120"/>
      </w:pPr>
      <w:r>
        <w:rPr>
          <w:b/>
        </w:rPr>
        <w:t xml:space="preserve">Hazard Pictograms: </w:t>
      </w:r>
      <w:r>
        <w:t>{{pictograms}}</w:t>
      </w:r>
    </w:p>
    <w:p>
      <w:pPr>
        <w:spacing w:after="120"/>
      </w:pPr>
      <w:r>
        <w:rPr>
          <w:b/>
        </w:rPr>
        <w:t xml:space="preserve">H Statements: </w:t>
      </w:r>
      <w:r>
        <w:t>{{hazard_statement_text}}</w:t>
      </w:r>
    </w:p>
    <w:p>
      <w:pPr>
        <w:spacing w:after="120"/>
      </w:pPr>
      <w:r>
        <w:rPr>
          <w:b/>
        </w:rPr>
        <w:t xml:space="preserve">H Codes: </w:t>
      </w:r>
      <w:r>
        <w:t>{{hazard_codes}}</w:t>
      </w:r>
    </w:p>
    <w:p>
      <w:pPr>
        <w:spacing w:after="120"/>
      </w:pPr>
      <w:r>
        <w:rPr>
          <w:b/>
        </w:rPr>
        <w:t xml:space="preserve">Dustiness / Volatility: </w:t>
      </w:r>
      <w:r>
        <w:t>{{dustiness_volatility}}</w:t>
      </w:r>
    </w:p>
    <w:p>
      <w:pPr>
        <w:pStyle w:val="Heading1"/>
        <w:spacing w:before="280" w:after="80"/>
      </w:pPr>
      <w:r>
        <w:rPr>
          <w:b/>
          <w:color w:val="1F3A5F"/>
          <w:sz w:val="25"/>
        </w:rPr>
        <w:t>SUBSTANCE BREAKDOWN</w:t>
      </w:r>
    </w:p>
    <w:p>
      <w:pPr>
        <w:spacing w:after="160"/>
      </w:pPr>
      <w:r>
        <w:rPr>
          <w:i/>
        </w:rPr>
        <w:t>Composition and, for each component, workplace exposure limits and screened toxicological flags (carcinogen / mutagen / reproductive toxicant / sensitiser). “Yes” means the SDS text mentions this near that component and should be checked against the source document — it is not a certified classification.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  <w:gridCol w:w="994"/>
      </w:tblGrid>
      <w:tr>
        <w:tc>
          <w:tcPr>
            <w:tcW w:type="dxa" w:w="994"/>
            <w:shd w:val="clear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994"/>
            <w:shd w:val="clear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b/>
                <w:color w:val="FFFFFF"/>
                <w:sz w:val="18"/>
              </w:rPr>
              <w:t>CAS No.</w:t>
            </w:r>
          </w:p>
        </w:tc>
        <w:tc>
          <w:tcPr>
            <w:tcW w:type="dxa" w:w="994"/>
            <w:shd w:val="clear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b/>
                <w:color w:val="FFFFFF"/>
                <w:sz w:val="18"/>
              </w:rPr>
              <w:t>Conc. (%)</w:t>
            </w:r>
          </w:p>
        </w:tc>
        <w:tc>
          <w:tcPr>
            <w:tcW w:type="dxa" w:w="994"/>
            <w:shd w:val="clear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b/>
                <w:color w:val="FFFFFF"/>
                <w:sz w:val="18"/>
              </w:rPr>
              <w:t>WEL Type</w:t>
            </w:r>
          </w:p>
        </w:tc>
        <w:tc>
          <w:tcPr>
            <w:tcW w:type="dxa" w:w="994"/>
            <w:shd w:val="clear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b/>
                <w:color w:val="FFFFFF"/>
                <w:sz w:val="18"/>
              </w:rPr>
              <w:t>LTEL</w:t>
            </w:r>
          </w:p>
        </w:tc>
        <w:tc>
          <w:tcPr>
            <w:tcW w:type="dxa" w:w="994"/>
            <w:shd w:val="clear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b/>
                <w:color w:val="FFFFFF"/>
                <w:sz w:val="18"/>
              </w:rPr>
              <w:t>STEL</w:t>
            </w:r>
          </w:p>
        </w:tc>
        <w:tc>
          <w:tcPr>
            <w:tcW w:type="dxa" w:w="994"/>
            <w:shd w:val="clear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b/>
                <w:color w:val="FFFFFF"/>
                <w:sz w:val="18"/>
              </w:rPr>
              <w:t>Carc.</w:t>
            </w:r>
          </w:p>
        </w:tc>
        <w:tc>
          <w:tcPr>
            <w:tcW w:type="dxa" w:w="994"/>
            <w:shd w:val="clear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b/>
                <w:color w:val="FFFFFF"/>
                <w:sz w:val="18"/>
              </w:rPr>
              <w:t>Mut.</w:t>
            </w:r>
          </w:p>
        </w:tc>
        <w:tc>
          <w:tcPr>
            <w:tcW w:type="dxa" w:w="994"/>
            <w:shd w:val="clear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b/>
                <w:color w:val="FFFFFF"/>
                <w:sz w:val="18"/>
              </w:rPr>
              <w:t>Repro.</w:t>
            </w:r>
          </w:p>
        </w:tc>
        <w:tc>
          <w:tcPr>
            <w:tcW w:type="dxa" w:w="994"/>
            <w:shd w:val="clear" w:fill="1F3A5F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b/>
                <w:color w:val="FFFFFF"/>
                <w:sz w:val="18"/>
              </w:rPr>
              <w:t>Sens.</w:t>
            </w:r>
          </w:p>
        </w:tc>
      </w:tr>
      <w:tr>
        <w:tc>
          <w:tcPr>
            <w:tcW w:type="dxa" w:w="99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sz w:val="18"/>
              </w:rPr>
              <w:t>{{row:substance_breakdown.name}}</w:t>
            </w:r>
          </w:p>
        </w:tc>
        <w:tc>
          <w:tcPr>
            <w:tcW w:type="dxa" w:w="99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sz w:val="18"/>
              </w:rPr>
              <w:t>{{row:substance_breakdown.cas}}</w:t>
            </w:r>
          </w:p>
        </w:tc>
        <w:tc>
          <w:tcPr>
            <w:tcW w:type="dxa" w:w="99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sz w:val="18"/>
              </w:rPr>
              <w:t>{{row:substance_breakdown.concentration}}</w:t>
            </w:r>
          </w:p>
        </w:tc>
        <w:tc>
          <w:tcPr>
            <w:tcW w:type="dxa" w:w="99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sz w:val="18"/>
              </w:rPr>
              <w:t>{{row:substance_breakdown.wel_type}}</w:t>
            </w:r>
          </w:p>
        </w:tc>
        <w:tc>
          <w:tcPr>
            <w:tcW w:type="dxa" w:w="99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sz w:val="18"/>
              </w:rPr>
              <w:t>{{row:substance_breakdown.ltel}}</w:t>
            </w:r>
          </w:p>
        </w:tc>
        <w:tc>
          <w:tcPr>
            <w:tcW w:type="dxa" w:w="99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sz w:val="18"/>
              </w:rPr>
              <w:t>{{row:substance_breakdown.stel}}</w:t>
            </w:r>
          </w:p>
        </w:tc>
        <w:tc>
          <w:tcPr>
            <w:tcW w:type="dxa" w:w="99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sz w:val="18"/>
              </w:rPr>
              <w:t>{{row:substance_breakdown.carcinogenic}}</w:t>
            </w:r>
          </w:p>
        </w:tc>
        <w:tc>
          <w:tcPr>
            <w:tcW w:type="dxa" w:w="99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sz w:val="18"/>
              </w:rPr>
              <w:t>{{row:substance_breakdown.mutagenic}}</w:t>
            </w:r>
          </w:p>
        </w:tc>
        <w:tc>
          <w:tcPr>
            <w:tcW w:type="dxa" w:w="99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sz w:val="18"/>
              </w:rPr>
              <w:t>{{row:substance_breakdown.reproductive_toxicant}}</w:t>
            </w:r>
          </w:p>
        </w:tc>
        <w:tc>
          <w:tcPr>
            <w:tcW w:type="dxa" w:w="994"/>
            <w:tcBorders>
              <w:top w:val="single" w:sz="4" w:color="AAAAAA"/>
              <w:left w:val="single" w:sz="4" w:color="AAAAAA"/>
              <w:bottom w:val="single" w:sz="4" w:color="AAAAAA"/>
              <w:right w:val="single" w:sz="4" w:color="AAAAAA"/>
            </w:tcBorders>
          </w:tcPr>
          <w:p>
            <w:r/>
            <w:r>
              <w:rPr>
                <w:sz w:val="18"/>
              </w:rPr>
              <w:t>{{row:substance_breakdown.sensitiser}}</w:t>
            </w:r>
          </w:p>
        </w:tc>
      </w:tr>
    </w:tbl>
    <w:p/>
    <w:p>
      <w:pPr>
        <w:pStyle w:val="Heading1"/>
        <w:spacing w:before="280" w:after="80"/>
      </w:pPr>
      <w:r>
        <w:rPr>
          <w:b/>
          <w:color w:val="1F3A5F"/>
          <w:sz w:val="25"/>
        </w:rPr>
        <w:t>REACTIVITY &amp; COMPATIBILITY</w:t>
      </w:r>
    </w:p>
    <w:p>
      <w:pPr>
        <w:spacing w:after="120"/>
      </w:pPr>
      <w:r>
        <w:rPr>
          <w:b/>
        </w:rPr>
        <w:t xml:space="preserve">Reactive Materials: </w:t>
      </w:r>
      <w:r>
        <w:t>{{reactive_materials}}</w:t>
      </w:r>
    </w:p>
    <w:p>
      <w:pPr>
        <w:spacing w:after="120"/>
      </w:pPr>
      <w:r>
        <w:rPr>
          <w:b/>
        </w:rPr>
        <w:t xml:space="preserve">Incompatible Materials: </w:t>
      </w:r>
      <w:r>
        <w:t>{{incompatible_materials}}</w:t>
      </w:r>
    </w:p>
    <w:p>
      <w:pPr>
        <w:pStyle w:val="Heading1"/>
        <w:spacing w:before="280" w:after="80"/>
      </w:pPr>
      <w:r>
        <w:rPr>
          <w:b/>
          <w:color w:val="1F3A5F"/>
          <w:sz w:val="25"/>
        </w:rPr>
        <w:t>OTHER HEALTH HAZARD MENTIONS</w:t>
      </w:r>
    </w:p>
    <w:p>
      <w:pPr>
        <w:spacing w:after="120"/>
      </w:pPr>
      <w:r>
        <w:rPr>
          <w:b/>
        </w:rPr>
        <w:t xml:space="preserve">Named Illnesses (asthma, dermatitis, etc.): </w:t>
      </w:r>
      <w:r>
        <w:t>{{health_hazard_mentions}}</w:t>
      </w:r>
    </w:p>
    <w:p>
      <w:pPr>
        <w:spacing w:after="120"/>
      </w:pPr>
      <w:r>
        <w:rPr>
          <w:b/>
        </w:rPr>
        <w:t xml:space="preserve">Dusts, Vapours or Fumes: </w:t>
      </w:r>
      <w:r>
        <w:t>{{dusts_vapours_fumes_mentions}}</w:t>
      </w:r>
    </w:p>
    <w:p>
      <w:pPr>
        <w:spacing w:after="120"/>
      </w:pPr>
      <w:r>
        <w:rPr>
          <w:b/>
        </w:rPr>
        <w:t xml:space="preserve">Asphyxiation Risk: </w:t>
      </w:r>
      <w:r>
        <w:t>{{asphyxiant_mentions}}</w:t>
      </w:r>
    </w:p>
    <w:p>
      <w:pPr>
        <w:spacing w:after="120"/>
      </w:pPr>
      <w:r>
        <w:rPr>
          <w:b/>
        </w:rPr>
        <w:t xml:space="preserve">Other Substances Hazardous to Health: </w:t>
      </w:r>
      <w:r>
        <w:t>{{other_health_hazards}}</w:t>
      </w:r>
    </w:p>
    <w:p>
      <w:pPr>
        <w:pStyle w:val="Heading1"/>
        <w:spacing w:before="280" w:after="80"/>
      </w:pPr>
      <w:r>
        <w:rPr>
          <w:b/>
          <w:color w:val="1F3A5F"/>
          <w:sz w:val="25"/>
        </w:rPr>
        <w:t>HANDLING &amp; STORAGE</w:t>
      </w:r>
    </w:p>
    <w:p>
      <w:pPr>
        <w:spacing w:after="120"/>
      </w:pPr>
      <w:r>
        <w:rPr>
          <w:b/>
        </w:rPr>
        <w:t xml:space="preserve">Storage Requirements: </w:t>
      </w:r>
      <w:r>
        <w:t>{{storage_requirements}}</w:t>
      </w:r>
    </w:p>
    <w:p>
      <w:pPr>
        <w:pStyle w:val="Heading1"/>
        <w:spacing w:before="280" w:after="80"/>
      </w:pPr>
      <w:r>
        <w:rPr>
          <w:b/>
          <w:color w:val="1F3A5F"/>
          <w:sz w:val="25"/>
        </w:rPr>
        <w:t>PERSONAL PROTECTIVE EQUIPMENT</w:t>
      </w:r>
    </w:p>
    <w:p>
      <w:pPr>
        <w:spacing w:after="120"/>
      </w:pPr>
      <w:r>
        <w:rPr>
          <w:b/>
        </w:rPr>
        <w:t xml:space="preserve">Respiratory Protection: </w:t>
      </w:r>
      <w:r>
        <w:t>{{respiratory_protection}}</w:t>
      </w:r>
    </w:p>
    <w:p>
      <w:pPr>
        <w:spacing w:after="120"/>
      </w:pPr>
      <w:r>
        <w:rPr>
          <w:b/>
        </w:rPr>
        <w:t xml:space="preserve">Hand Protection: </w:t>
      </w:r>
      <w:r>
        <w:t>{{hand_protection}}</w:t>
      </w:r>
    </w:p>
    <w:p>
      <w:pPr>
        <w:spacing w:after="120"/>
      </w:pPr>
      <w:r>
        <w:rPr>
          <w:b/>
        </w:rPr>
        <w:t xml:space="preserve">Eye Protection: </w:t>
      </w:r>
      <w:r>
        <w:t>{{eye_protection}}</w:t>
      </w:r>
    </w:p>
    <w:p>
      <w:pPr>
        <w:spacing w:after="120"/>
      </w:pPr>
      <w:r>
        <w:rPr>
          <w:b/>
        </w:rPr>
        <w:t xml:space="preserve">Skin Protection: </w:t>
      </w:r>
      <w:r>
        <w:t>{{skin_protection}}</w:t>
      </w:r>
    </w:p>
    <w:p>
      <w:pPr>
        <w:pStyle w:val="Heading1"/>
        <w:spacing w:before="280" w:after="80"/>
      </w:pPr>
      <w:r>
        <w:rPr>
          <w:b/>
          <w:color w:val="1F3A5F"/>
          <w:sz w:val="25"/>
        </w:rPr>
        <w:t>SPILLAGE / RELEASE ADVICE</w:t>
      </w:r>
    </w:p>
    <w:p>
      <w:r>
        <w:t>{{spillage_release_advice}}</w:t>
      </w:r>
    </w:p>
    <w:p>
      <w:pPr>
        <w:pStyle w:val="Heading1"/>
        <w:spacing w:before="280" w:after="80"/>
      </w:pPr>
      <w:r>
        <w:rPr>
          <w:b/>
          <w:color w:val="1F3A5F"/>
          <w:sz w:val="25"/>
        </w:rPr>
        <w:t>FIRE-FIGHTING ADVICE</w:t>
      </w:r>
    </w:p>
    <w:p>
      <w:r>
        <w:t>{{fire_advice}}</w:t>
      </w:r>
    </w:p>
    <w:p>
      <w:pPr>
        <w:pStyle w:val="Heading1"/>
        <w:spacing w:before="280" w:after="80"/>
      </w:pPr>
      <w:r>
        <w:rPr>
          <w:b/>
          <w:color w:val="1F3A5F"/>
          <w:sz w:val="25"/>
        </w:rPr>
        <w:t>FIRST AID MEASURES</w:t>
      </w:r>
    </w:p>
    <w:p>
      <w:r>
        <w:t>{{first_aid}}</w:t>
      </w:r>
    </w:p>
    <w:p/>
    <w:p>
      <w:r>
        <w:rPr>
          <w:i/>
          <w:color w:val="444444"/>
          <w:sz w:val="16"/>
        </w:rPr>
        <w:t>Generated by the offline SDS Reader. Wording is reproduced from the source SDS wherever possible; verify against the original document before relying on it.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