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Georgia" w:cs="Georgia" w:eastAsia="Georgia" w:hAnsi="Georgia"/>
          <w:b/>
          <w:bCs/>
          <w:color w:val="548323"/>
          <w:sz w:val="72"/>
          <w:szCs w:val="72"/>
        </w:rPr>
        <w:t xml:space="preserve">SipLocal</w:t>
      </w:r>
    </w:p>
    <w:p>
      <w:pPr>
        <w:spacing w:after="60"/>
      </w:pPr>
      <w:r>
        <w:rPr>
          <w:color w:val="1A201B"/>
          <w:sz w:val="32"/>
          <w:szCs w:val="32"/>
        </w:rPr>
        <w:t xml:space="preserve">Production-Readiness Review &amp; Business Plan</w:t>
      </w:r>
    </w:p>
    <w:p>
      <w:pPr>
        <w:spacing w:after="400"/>
      </w:pPr>
      <w:r>
        <w:rPr>
          <w:i/>
          <w:iCs/>
          <w:color w:val="5A6660"/>
          <w:sz w:val="22"/>
          <w:szCs w:val="22"/>
        </w:rPr>
        <w:t xml:space="preserve">Hyper-regional wine-tourism platform — Tasmania, built to scale to new regions</w:t>
      </w:r>
    </w:p>
    <w:p>
      <w:pPr>
        <w:pBdr>
          <w:bottom w:val="single" w:color="548323" w:sz="6" w:space="1"/>
        </w:pBdr>
        <w:spacing w:after="160"/>
      </w:pPr>
    </w:p>
    <w:p>
      <w:pPr>
        <w:spacing w:after="40"/>
      </w:pPr>
      <w:r>
        <w:rPr>
          <w:b/>
          <w:bCs/>
        </w:rPr>
        <w:t xml:space="preserve">Prepared for: </w:t>
      </w:r>
      <w:r>
        <w:t xml:space="preserve">Benjamin (benbeckers15@gmail.com)</w:t>
      </w:r>
    </w:p>
    <w:p>
      <w:pPr>
        <w:spacing w:after="40"/>
      </w:pPr>
      <w:r>
        <w:rPr>
          <w:b/>
          <w:bCs/>
        </w:rPr>
        <w:t xml:space="preserve">Date: </w:t>
      </w:r>
      <w:r>
        <w:t xml:space="preserve">10 June 2026</w:t>
      </w:r>
    </w:p>
    <w:p>
      <w:pPr>
        <w:spacing w:after="40"/>
      </w:pPr>
      <w:r>
        <w:rPr>
          <w:b/>
          <w:bCs/>
        </w:rPr>
        <w:t xml:space="preserve">Scope: </w:t>
      </w:r>
      <w:r>
        <w:t xml:space="preserve">Full codebase audit (read-only — no code was changed) plus a founder-facing business plan to offset AI cost and scale across regions.</w:t>
      </w:r>
    </w:p>
    <w:p>
      <w:pPr>
        <w:spacing w:after="40"/>
      </w:pPr>
      <w:r>
        <w:rPr>
          <w:b/>
          <w:bCs/>
        </w:rPr>
        <w:t xml:space="preserve">Stack reviewed: </w:t>
      </w:r>
      <w:r>
        <w:t xml:space="preserve">Expo SDK 54 / RN 0.81 / React 19, Expo Router v6, Firebase (Firestore, Auth, Storage, Cloud Functions Gen2), server-side concierge (OpenAI + Gemini + Voyage + Upstash RAG).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SipLocal is much further along than a typical pre-launch app. The architecture is sound, the AI concierge has already been moved server-side (so API keys are no longer shipped in the app bundle), the multi-region refactor is genuinely well designed, and there is real defensive engineering throughout — error boundaries on every screen, NaN-coordinate crash hardening for Google Maps, an account-deletion flow that satisfies Apple's requirements, and a durable per-session rate limit protecting the AI budget. This is not a prototype; it is a near-complete product with a focused list of gaps.</w:t>
      </w:r>
    </w:p>
    <w:p>
      <w:pPr>
        <w:spacing w:after="140" w:line="276"/>
      </w:pPr>
      <w:r>
        <w:t xml:space="preserve">The work that remains before a public launch is mostly hardening and operational wiring rather than core feature building. The single most important item is turning on App Check so the public AI endpoint can no longer be abused by anyone who finds its URL. After that, the list is: connect crash reporting (the shim exists but is not wired to a provider), add analytics (currently none — you would launch blind to your funnel), finish a handful of dead UI controls on the profile screen, create an EAS build configuration and store assets, and remove a couple of debug logs. None of these are large.</w:t>
      </w:r>
    </w:p>
    <w:p>
      <w:pPr>
        <w:spacing w:after="140" w:line="276"/>
      </w:pPr>
      <w:r>
        <w:t xml:space="preserve">On the business side, the headline is reassuring: </w:t>
      </w:r>
      <w:r>
        <w:rPr>
          <w:b/>
          <w:bCs/>
        </w:rPr>
        <w:t xml:space="preserve">the AI cost is small and already well-contained, and it is not the constraint on the business.</w:t>
      </w:r>
      <w:r>
        <w:t xml:space="preserve"> With the default Gemini response model plus prompt caching, a typical concierge turn costs on the order of fractions of a cent, and the hard per-session daily cap means a single user cannot run away with your bill. A single paying winery partner — a revenue line the data model already supports through its featured/boost fields — offsets thousands of concierge turns. The right framing is that the concierge is your acquisition and engagement hook, cross-subsidised by business-to-business listing revenue and booking commissions, with an optional consumer pass to cap the heaviest users.</w:t>
      </w:r>
    </w:p>
    <w:p>
      <w:pPr>
        <w:pStyle w:val="Heading2"/>
      </w:pPr>
      <w:r>
        <w:t xml:space="preserve">Verdict at a glance</w:t>
      </w:r>
    </w:p>
    <w:tbl>
      <w:tblPr>
        <w:tblW w:type="dxa" w:w="9360"/>
        <w:tblBorders>
          <w:top w:val="single" w:color="CFD8CF" w:sz="1"/>
          <w:left w:val="single" w:color="CFD8CF" w:sz="1"/>
          <w:bottom w:val="single" w:color="CFD8CF" w:sz="1"/>
          <w:right w:val="single" w:color="CFD8CF" w:sz="1"/>
          <w:insideH w:val="single" w:color="CFD8CF" w:sz="1"/>
          <w:insideV w:val="single" w:color="CFD8CF" w:sz="1"/>
        </w:tblBorders>
      </w:tblPr>
      <w:tblGrid>
        <w:gridCol w:w="2600"/>
        <w:gridCol w:w="2700"/>
        <w:gridCol w:w="4060"/>
      </w:tblGrid>
      <w:tr>
        <w:trPr>
          <w:tblHeader/>
        </w:trPr>
        <w:tc>
          <w:tcPr>
            <w:tcW w:type="dxa" w:w="2600"/>
            <w:shd w:fill="548323" w:val="clear"/>
            <w:tcMar>
              <w:top w:type="dxa" w:w="60"/>
              <w:left w:type="dxa" w:w="110"/>
              <w:bottom w:type="dxa" w:w="60"/>
              <w:right w:type="dxa" w:w="110"/>
            </w:tcMar>
          </w:tcPr>
          <w:p>
            <w:r>
              <w:rPr>
                <w:b/>
                <w:bCs/>
                <w:color w:val="FFFFFF"/>
                <w:sz w:val="19"/>
                <w:szCs w:val="19"/>
              </w:rPr>
              <w:t xml:space="preserve">Area</w:t>
            </w:r>
          </w:p>
        </w:tc>
        <w:tc>
          <w:tcPr>
            <w:tcW w:type="dxa" w:w="2700"/>
            <w:shd w:fill="548323" w:val="clear"/>
            <w:tcMar>
              <w:top w:type="dxa" w:w="60"/>
              <w:left w:type="dxa" w:w="110"/>
              <w:bottom w:type="dxa" w:w="60"/>
              <w:right w:type="dxa" w:w="110"/>
            </w:tcMar>
          </w:tcPr>
          <w:p>
            <w:r>
              <w:rPr>
                <w:b/>
                <w:bCs/>
                <w:color w:val="FFFFFF"/>
                <w:sz w:val="19"/>
                <w:szCs w:val="19"/>
              </w:rPr>
              <w:t xml:space="preserve">State</w:t>
            </w:r>
          </w:p>
        </w:tc>
        <w:tc>
          <w:tcPr>
            <w:tcW w:type="dxa" w:w="4060"/>
            <w:shd w:fill="548323" w:val="clear"/>
            <w:tcMar>
              <w:top w:type="dxa" w:w="60"/>
              <w:left w:type="dxa" w:w="110"/>
              <w:bottom w:type="dxa" w:w="60"/>
              <w:right w:type="dxa" w:w="110"/>
            </w:tcMar>
          </w:tcPr>
          <w:p>
            <w:r>
              <w:rPr>
                <w:b/>
                <w:bCs/>
                <w:color w:val="FFFFFF"/>
                <w:sz w:val="19"/>
                <w:szCs w:val="19"/>
              </w:rPr>
              <w:t xml:space="preserve">Gap to launch</w:t>
            </w:r>
          </w:p>
        </w:tc>
      </w:tr>
      <w:tr>
        <w:tc>
          <w:tcPr>
            <w:tcW w:type="dxa" w:w="2600"/>
            <w:shd w:fill="FFFFFF" w:val="clear"/>
            <w:tcMar>
              <w:top w:type="dxa" w:w="60"/>
              <w:left w:type="dxa" w:w="110"/>
              <w:bottom w:type="dxa" w:w="60"/>
              <w:right w:type="dxa" w:w="110"/>
            </w:tcMar>
          </w:tcPr>
          <w:p>
            <w:r>
              <w:rPr>
                <w:sz w:val="19"/>
                <w:szCs w:val="19"/>
              </w:rPr>
              <w:t xml:space="preserve">AI concierge architecture</w:t>
            </w:r>
          </w:p>
        </w:tc>
        <w:tc>
          <w:tcPr>
            <w:tcW w:type="dxa" w:w="2700"/>
            <w:shd w:fill="FFFFFF" w:val="clear"/>
            <w:tcMar>
              <w:top w:type="dxa" w:w="60"/>
              <w:left w:type="dxa" w:w="110"/>
              <w:bottom w:type="dxa" w:w="60"/>
              <w:right w:type="dxa" w:w="110"/>
            </w:tcMar>
          </w:tcPr>
          <w:p>
            <w:r>
              <w:rPr>
                <w:b/>
                <w:bCs/>
                <w:color w:val="548323"/>
                <w:sz w:val="19"/>
                <w:szCs w:val="19"/>
              </w:rPr>
              <w:t xml:space="preserve">Strong</w:t>
            </w:r>
          </w:p>
        </w:tc>
        <w:tc>
          <w:tcPr>
            <w:tcW w:type="dxa" w:w="4060"/>
            <w:shd w:fill="FFFFFF" w:val="clear"/>
            <w:tcMar>
              <w:top w:type="dxa" w:w="60"/>
              <w:left w:type="dxa" w:w="110"/>
              <w:bottom w:type="dxa" w:w="60"/>
              <w:right w:type="dxa" w:w="110"/>
            </w:tcMar>
          </w:tcPr>
          <w:p>
            <w:r>
              <w:rPr>
                <w:sz w:val="19"/>
                <w:szCs w:val="19"/>
              </w:rPr>
              <w:t xml:space="preserve">Enable App Check; add cache TTL</w:t>
            </w:r>
          </w:p>
        </w:tc>
      </w:tr>
      <w:tr>
        <w:tc>
          <w:tcPr>
            <w:tcW w:type="dxa" w:w="2600"/>
            <w:shd w:fill="F4F7F3" w:val="clear"/>
            <w:tcMar>
              <w:top w:type="dxa" w:w="60"/>
              <w:left w:type="dxa" w:w="110"/>
              <w:bottom w:type="dxa" w:w="60"/>
              <w:right w:type="dxa" w:w="110"/>
            </w:tcMar>
          </w:tcPr>
          <w:p>
            <w:r>
              <w:rPr>
                <w:sz w:val="19"/>
                <w:szCs w:val="19"/>
              </w:rPr>
              <w:t xml:space="preserve">Security &amp; secrets hygiene</w:t>
            </w:r>
          </w:p>
        </w:tc>
        <w:tc>
          <w:tcPr>
            <w:tcW w:type="dxa" w:w="2700"/>
            <w:shd w:fill="F4F7F3" w:val="clear"/>
            <w:tcMar>
              <w:top w:type="dxa" w:w="60"/>
              <w:left w:type="dxa" w:w="110"/>
              <w:bottom w:type="dxa" w:w="60"/>
              <w:right w:type="dxa" w:w="110"/>
            </w:tcMar>
          </w:tcPr>
          <w:p>
            <w:r>
              <w:rPr>
                <w:b/>
                <w:bCs/>
                <w:color w:val="548323"/>
                <w:sz w:val="19"/>
                <w:szCs w:val="19"/>
              </w:rPr>
              <w:t xml:space="preserve">Good</w:t>
            </w:r>
          </w:p>
        </w:tc>
        <w:tc>
          <w:tcPr>
            <w:tcW w:type="dxa" w:w="4060"/>
            <w:shd w:fill="F4F7F3" w:val="clear"/>
            <w:tcMar>
              <w:top w:type="dxa" w:w="60"/>
              <w:left w:type="dxa" w:w="110"/>
              <w:bottom w:type="dxa" w:w="60"/>
              <w:right w:type="dxa" w:w="110"/>
            </w:tcMar>
          </w:tcPr>
          <w:p>
            <w:r>
              <w:rPr>
                <w:sz w:val="19"/>
                <w:szCs w:val="19"/>
              </w:rPr>
              <w:t xml:space="preserve">App Check + restrict Maps key</w:t>
            </w:r>
          </w:p>
        </w:tc>
      </w:tr>
      <w:tr>
        <w:tc>
          <w:tcPr>
            <w:tcW w:type="dxa" w:w="2600"/>
            <w:shd w:fill="FFFFFF" w:val="clear"/>
            <w:tcMar>
              <w:top w:type="dxa" w:w="60"/>
              <w:left w:type="dxa" w:w="110"/>
              <w:bottom w:type="dxa" w:w="60"/>
              <w:right w:type="dxa" w:w="110"/>
            </w:tcMar>
          </w:tcPr>
          <w:p>
            <w:r>
              <w:rPr>
                <w:sz w:val="19"/>
                <w:szCs w:val="19"/>
              </w:rPr>
              <w:t xml:space="preserve">Multi-region readiness</w:t>
            </w:r>
          </w:p>
        </w:tc>
        <w:tc>
          <w:tcPr>
            <w:tcW w:type="dxa" w:w="2700"/>
            <w:shd w:fill="FFFFFF" w:val="clear"/>
            <w:tcMar>
              <w:top w:type="dxa" w:w="60"/>
              <w:left w:type="dxa" w:w="110"/>
              <w:bottom w:type="dxa" w:w="60"/>
              <w:right w:type="dxa" w:w="110"/>
            </w:tcMar>
          </w:tcPr>
          <w:p>
            <w:r>
              <w:rPr>
                <w:b/>
                <w:bCs/>
                <w:color w:val="548323"/>
                <w:sz w:val="19"/>
                <w:szCs w:val="19"/>
              </w:rPr>
              <w:t xml:space="preserve">Strong (1 region live)</w:t>
            </w:r>
          </w:p>
        </w:tc>
        <w:tc>
          <w:tcPr>
            <w:tcW w:type="dxa" w:w="4060"/>
            <w:shd w:fill="FFFFFF" w:val="clear"/>
            <w:tcMar>
              <w:top w:type="dxa" w:w="60"/>
              <w:left w:type="dxa" w:w="110"/>
              <w:bottom w:type="dxa" w:w="60"/>
              <w:right w:type="dxa" w:w="110"/>
            </w:tcMar>
          </w:tcPr>
          <w:p>
            <w:r>
              <w:rPr>
                <w:sz w:val="19"/>
                <w:szCs w:val="19"/>
              </w:rPr>
              <w:t xml:space="preserve">Seed 2nd region to prove playbook</w:t>
            </w:r>
          </w:p>
        </w:tc>
      </w:tr>
      <w:tr>
        <w:tc>
          <w:tcPr>
            <w:tcW w:type="dxa" w:w="2600"/>
            <w:shd w:fill="F4F7F3" w:val="clear"/>
            <w:tcMar>
              <w:top w:type="dxa" w:w="60"/>
              <w:left w:type="dxa" w:w="110"/>
              <w:bottom w:type="dxa" w:w="60"/>
              <w:right w:type="dxa" w:w="110"/>
            </w:tcMar>
          </w:tcPr>
          <w:p>
            <w:r>
              <w:rPr>
                <w:sz w:val="19"/>
                <w:szCs w:val="19"/>
              </w:rPr>
              <w:t xml:space="preserve">Core app UX</w:t>
            </w:r>
          </w:p>
        </w:tc>
        <w:tc>
          <w:tcPr>
            <w:tcW w:type="dxa" w:w="2700"/>
            <w:shd w:fill="F4F7F3" w:val="clear"/>
            <w:tcMar>
              <w:top w:type="dxa" w:w="60"/>
              <w:left w:type="dxa" w:w="110"/>
              <w:bottom w:type="dxa" w:w="60"/>
              <w:right w:type="dxa" w:w="110"/>
            </w:tcMar>
          </w:tcPr>
          <w:p>
            <w:r>
              <w:rPr>
                <w:b/>
                <w:bCs/>
                <w:color w:val="548323"/>
                <w:sz w:val="19"/>
                <w:szCs w:val="19"/>
              </w:rPr>
              <w:t xml:space="preserve">Mature</w:t>
            </w:r>
          </w:p>
        </w:tc>
        <w:tc>
          <w:tcPr>
            <w:tcW w:type="dxa" w:w="4060"/>
            <w:shd w:fill="F4F7F3" w:val="clear"/>
            <w:tcMar>
              <w:top w:type="dxa" w:w="60"/>
              <w:left w:type="dxa" w:w="110"/>
              <w:bottom w:type="dxa" w:w="60"/>
              <w:right w:type="dxa" w:w="110"/>
            </w:tcMar>
          </w:tcPr>
          <w:p>
            <w:r>
              <w:rPr>
                <w:sz w:val="19"/>
                <w:szCs w:val="19"/>
              </w:rPr>
              <w:t xml:space="preserve">Finish dead buttons; onboarding</w:t>
            </w:r>
          </w:p>
        </w:tc>
      </w:tr>
      <w:tr>
        <w:tc>
          <w:tcPr>
            <w:tcW w:type="dxa" w:w="2600"/>
            <w:shd w:fill="FFFFFF" w:val="clear"/>
            <w:tcMar>
              <w:top w:type="dxa" w:w="60"/>
              <w:left w:type="dxa" w:w="110"/>
              <w:bottom w:type="dxa" w:w="60"/>
              <w:right w:type="dxa" w:w="110"/>
            </w:tcMar>
          </w:tcPr>
          <w:p>
            <w:r>
              <w:rPr>
                <w:sz w:val="19"/>
                <w:szCs w:val="19"/>
              </w:rPr>
              <w:t xml:space="preserve">Observability</w:t>
            </w:r>
          </w:p>
        </w:tc>
        <w:tc>
          <w:tcPr>
            <w:tcW w:type="dxa" w:w="2700"/>
            <w:shd w:fill="FFFFFF" w:val="clear"/>
            <w:tcMar>
              <w:top w:type="dxa" w:w="60"/>
              <w:left w:type="dxa" w:w="110"/>
              <w:bottom w:type="dxa" w:w="60"/>
              <w:right w:type="dxa" w:w="110"/>
            </w:tcMar>
          </w:tcPr>
          <w:p>
            <w:r>
              <w:rPr>
                <w:b/>
                <w:bCs/>
                <w:color w:val="B8791F"/>
                <w:sz w:val="19"/>
                <w:szCs w:val="19"/>
              </w:rPr>
              <w:t xml:space="preserve">Partial</w:t>
            </w:r>
          </w:p>
        </w:tc>
        <w:tc>
          <w:tcPr>
            <w:tcW w:type="dxa" w:w="4060"/>
            <w:shd w:fill="FFFFFF" w:val="clear"/>
            <w:tcMar>
              <w:top w:type="dxa" w:w="60"/>
              <w:left w:type="dxa" w:w="110"/>
              <w:bottom w:type="dxa" w:w="60"/>
              <w:right w:type="dxa" w:w="110"/>
            </w:tcMar>
          </w:tcPr>
          <w:p>
            <w:r>
              <w:rPr>
                <w:sz w:val="19"/>
                <w:szCs w:val="19"/>
              </w:rPr>
              <w:t xml:space="preserve">Wire Crashlytics + analytics</w:t>
            </w:r>
          </w:p>
        </w:tc>
      </w:tr>
      <w:tr>
        <w:tc>
          <w:tcPr>
            <w:tcW w:type="dxa" w:w="2600"/>
            <w:shd w:fill="F4F7F3" w:val="clear"/>
            <w:tcMar>
              <w:top w:type="dxa" w:w="60"/>
              <w:left w:type="dxa" w:w="110"/>
              <w:bottom w:type="dxa" w:w="60"/>
              <w:right w:type="dxa" w:w="110"/>
            </w:tcMar>
          </w:tcPr>
          <w:p>
            <w:r>
              <w:rPr>
                <w:sz w:val="19"/>
                <w:szCs w:val="19"/>
              </w:rPr>
              <w:t xml:space="preserve">Store / distribution</w:t>
            </w:r>
          </w:p>
        </w:tc>
        <w:tc>
          <w:tcPr>
            <w:tcW w:type="dxa" w:w="2700"/>
            <w:shd w:fill="F4F7F3" w:val="clear"/>
            <w:tcMar>
              <w:top w:type="dxa" w:w="60"/>
              <w:left w:type="dxa" w:w="110"/>
              <w:bottom w:type="dxa" w:w="60"/>
              <w:right w:type="dxa" w:w="110"/>
            </w:tcMar>
          </w:tcPr>
          <w:p>
            <w:r>
              <w:rPr>
                <w:b/>
                <w:bCs/>
                <w:color w:val="B23A2E"/>
                <w:sz w:val="19"/>
                <w:szCs w:val="19"/>
              </w:rPr>
              <w:t xml:space="preserve">Not started</w:t>
            </w:r>
          </w:p>
        </w:tc>
        <w:tc>
          <w:tcPr>
            <w:tcW w:type="dxa" w:w="4060"/>
            <w:shd w:fill="F4F7F3" w:val="clear"/>
            <w:tcMar>
              <w:top w:type="dxa" w:w="60"/>
              <w:left w:type="dxa" w:w="110"/>
              <w:bottom w:type="dxa" w:w="60"/>
              <w:right w:type="dxa" w:w="110"/>
            </w:tcMar>
          </w:tcPr>
          <w:p>
            <w:r>
              <w:rPr>
                <w:sz w:val="19"/>
                <w:szCs w:val="19"/>
              </w:rPr>
              <w:t xml:space="preserve">EAS config, assets, ToS</w:t>
            </w:r>
          </w:p>
        </w:tc>
      </w:tr>
      <w:tr>
        <w:tc>
          <w:tcPr>
            <w:tcW w:type="dxa" w:w="2600"/>
            <w:shd w:fill="FFFFFF" w:val="clear"/>
            <w:tcMar>
              <w:top w:type="dxa" w:w="60"/>
              <w:left w:type="dxa" w:w="110"/>
              <w:bottom w:type="dxa" w:w="60"/>
              <w:right w:type="dxa" w:w="110"/>
            </w:tcMar>
          </w:tcPr>
          <w:p>
            <w:r>
              <w:rPr>
                <w:sz w:val="19"/>
                <w:szCs w:val="19"/>
              </w:rPr>
              <w:t xml:space="preserve">Monetisation</w:t>
            </w:r>
          </w:p>
        </w:tc>
        <w:tc>
          <w:tcPr>
            <w:tcW w:type="dxa" w:w="2700"/>
            <w:shd w:fill="FFFFFF" w:val="clear"/>
            <w:tcMar>
              <w:top w:type="dxa" w:w="60"/>
              <w:left w:type="dxa" w:w="110"/>
              <w:bottom w:type="dxa" w:w="60"/>
              <w:right w:type="dxa" w:w="110"/>
            </w:tcMar>
          </w:tcPr>
          <w:p>
            <w:r>
              <w:rPr>
                <w:b/>
                <w:bCs/>
                <w:color w:val="B8791F"/>
                <w:sz w:val="19"/>
                <w:szCs w:val="19"/>
              </w:rPr>
              <w:t xml:space="preserve">Designed, not wired</w:t>
            </w:r>
          </w:p>
        </w:tc>
        <w:tc>
          <w:tcPr>
            <w:tcW w:type="dxa" w:w="4060"/>
            <w:shd w:fill="FFFFFF" w:val="clear"/>
            <w:tcMar>
              <w:top w:type="dxa" w:w="60"/>
              <w:left w:type="dxa" w:w="110"/>
              <w:bottom w:type="dxa" w:w="60"/>
              <w:right w:type="dxa" w:w="110"/>
            </w:tcMar>
          </w:tcPr>
          <w:p>
            <w:r>
              <w:rPr>
                <w:sz w:val="19"/>
                <w:szCs w:val="19"/>
              </w:rPr>
              <w:t xml:space="preserve">Partner tiers, affiliate, pass</w:t>
            </w:r>
          </w:p>
        </w:tc>
      </w:tr>
    </w:tbl>
    <w:p>
      <w:r>
        <w:br w:type="page"/>
      </w:r>
    </w:p>
    <w:p>
      <w:pPr>
        <w:spacing w:after="120"/>
      </w:pPr>
      <w:r>
        <w:rPr>
          <w:b/>
          <w:bCs/>
          <w:color w:val="548323"/>
          <w:sz w:val="22"/>
          <w:szCs w:val="22"/>
        </w:rPr>
        <w:t xml:space="preserve">PART A</w:t>
      </w:r>
    </w:p>
    <w:p>
      <w:pPr>
        <w:pStyle w:val="Heading1"/>
      </w:pPr>
      <w:r>
        <w:t xml:space="preserve">2. Production-readiness audit</w:t>
      </w:r>
    </w:p>
    <w:p>
      <w:pPr>
        <w:spacing w:after="140" w:line="276"/>
      </w:pPr>
      <w:r>
        <w:t xml:space="preserve">Findings are grouped by severity. Each item names the file(s) so it can be actioned directly. Severities: </w:t>
      </w:r>
    </w:p>
    <w:p>
      <w:pPr>
        <w:spacing w:after="160"/>
      </w:pPr>
      <w:r>
        <w:rPr>
          <w:b/>
          <w:bCs/>
          <w:color w:val="FFFFFF"/>
          <w:sz w:val="16"/>
          <w:szCs w:val="16"/>
          <w:shd w:fill="B23A2E" w:val="clear"/>
        </w:rPr>
        <w:t xml:space="preserve"> BLOCKER </w:t>
      </w:r>
      <w:r>
        <w:t xml:space="preserve">  fix before any public release    </w:t>
      </w:r>
      <w:r>
        <w:rPr>
          <w:b/>
          <w:bCs/>
          <w:color w:val="FFFFFF"/>
          <w:sz w:val="16"/>
          <w:szCs w:val="16"/>
          <w:shd w:fill="B8791F" w:val="clear"/>
        </w:rPr>
        <w:t xml:space="preserve"> HIGH </w:t>
      </w:r>
      <w:r>
        <w:t xml:space="preserve">  fix this sprint    </w:t>
      </w:r>
      <w:r>
        <w:rPr>
          <w:b/>
          <w:bCs/>
          <w:color w:val="FFFFFF"/>
          <w:sz w:val="16"/>
          <w:szCs w:val="16"/>
          <w:shd w:fill="548323" w:val="clear"/>
        </w:rPr>
        <w:t xml:space="preserve"> MEDIUM </w:t>
      </w:r>
      <w:r>
        <w:t xml:space="preserve">  worth doing    </w:t>
      </w:r>
      <w:r>
        <w:rPr>
          <w:b/>
          <w:bCs/>
          <w:color w:val="FFFFFF"/>
          <w:sz w:val="16"/>
          <w:szCs w:val="16"/>
          <w:shd w:fill="5A6660" w:val="clear"/>
        </w:rPr>
        <w:t xml:space="preserve"> LOW </w:t>
      </w:r>
      <w:r>
        <w:t xml:space="preserve">  polish</w:t>
      </w:r>
    </w:p>
    <w:p>
      <w:pPr>
        <w:pStyle w:val="Heading2"/>
      </w:pPr>
      <w:r>
        <w:t xml:space="preserve">2.1 Launch blockers</w:t>
      </w:r>
    </w:p>
    <w:p>
      <w:pPr>
        <w:spacing w:after="60"/>
      </w:pPr>
      <w:r>
        <w:rPr>
          <w:b/>
          <w:bCs/>
          <w:color w:val="FFFFFF"/>
          <w:sz w:val="16"/>
          <w:szCs w:val="16"/>
          <w:shd w:fill="B23A2E" w:val="clear"/>
        </w:rPr>
        <w:t xml:space="preserve"> BLOCKER </w:t>
      </w:r>
      <w:r>
        <w:rPr>
          <w:b/>
          <w:bCs/>
        </w:rPr>
        <w:t xml:space="preserve">  App Check is implemented but disabled — the AI endpoint is publicly abusable</w:t>
      </w:r>
    </w:p>
    <w:p>
      <w:pPr>
        <w:spacing w:after="140" w:line="276"/>
      </w:pPr>
      <w:r>
        <w:t xml:space="preserve">The concierge Cloud Function (</w:t>
      </w:r>
      <w:r>
        <w:rPr>
          <w:rFonts w:ascii="Consolas" w:cs="Consolas" w:eastAsia="Consolas" w:hAnsi="Consolas"/>
          <w:sz w:val="18"/>
          <w:szCs w:val="18"/>
        </w:rPr>
        <w:t xml:space="preserve">functions/src/index.ts</w:t>
      </w:r>
      <w:r>
        <w:t xml:space="preserve">) is deployed with </w:t>
      </w:r>
      <w:r>
        <w:rPr>
          <w:rFonts w:ascii="Consolas" w:cs="Consolas" w:eastAsia="Consolas" w:hAnsi="Consolas"/>
          <w:sz w:val="18"/>
          <w:szCs w:val="18"/>
        </w:rPr>
        <w:t xml:space="preserve">invoker: "public"</w:t>
      </w:r>
      <w:r>
        <w:t xml:space="preserve"> and verifies App Check only when the environment variable </w:t>
      </w:r>
      <w:r>
        <w:rPr>
          <w:rFonts w:ascii="Consolas" w:cs="Consolas" w:eastAsia="Consolas" w:hAnsi="Consolas"/>
          <w:sz w:val="18"/>
          <w:szCs w:val="18"/>
        </w:rPr>
        <w:t xml:space="preserve">CONCIERGE_ENFORCE_APP_CHECK=true</w:t>
      </w:r>
      <w:r>
        <w:t xml:space="preserve"> is set — which defaults to off. The verification code path is fully written; it simply has not been switched on because the iOS app and web reCAPTCHA key are not yet registered in the Firebase console. Until that happens, anyone who discovers the function URL can POST to it and spend your OpenAI / Gemini / Voyage / Google Directions budget, or use it as a free LLM proxy. The durable per-session daily quota (below) limits the blast radius, but App Check is the real gate.</w:t>
      </w:r>
    </w:p>
    <w:p>
      <w:pPr>
        <w:pStyle w:val="ListParagraph"/>
        <w:numPr>
          <w:ilvl w:val="0"/>
          <w:numId w:val="2"/>
        </w:numPr>
        <w:spacing w:after="70" w:line="270"/>
      </w:pPr>
      <w:r>
        <w:t xml:space="preserve">Fix: register the iOS app (App Attest) and the web app (reCAPTCHA v3) for App Check, have both clients attach the token, then deploy with the enforcement flag on. The code is ready; this is a console + config task.</w:t>
      </w:r>
    </w:p>
    <w:p>
      <w:pPr>
        <w:spacing w:after="60" w:before="120"/>
      </w:pPr>
      <w:r>
        <w:rPr>
          <w:b/>
          <w:bCs/>
          <w:color w:val="FFFFFF"/>
          <w:sz w:val="16"/>
          <w:szCs w:val="16"/>
          <w:shd w:fill="B23A2E" w:val="clear"/>
        </w:rPr>
        <w:t xml:space="preserve"> BLOCKER </w:t>
      </w:r>
      <w:r>
        <w:rPr>
          <w:b/>
          <w:bCs/>
        </w:rPr>
        <w:t xml:space="preserve">  No build/release pipeline or store configuration</w:t>
      </w:r>
    </w:p>
    <w:p>
      <w:pPr>
        <w:spacing w:after="140" w:line="276"/>
      </w:pPr>
      <w:r>
        <w:t xml:space="preserve">There is no </w:t>
      </w:r>
      <w:r>
        <w:rPr>
          <w:rFonts w:ascii="Consolas" w:cs="Consolas" w:eastAsia="Consolas" w:hAnsi="Consolas"/>
          <w:sz w:val="18"/>
          <w:szCs w:val="18"/>
        </w:rPr>
        <w:t xml:space="preserve">eas.json</w:t>
      </w:r>
      <w:r>
        <w:t xml:space="preserve">, and the native </w:t>
      </w:r>
      <w:r>
        <w:rPr>
          <w:rFonts w:ascii="Consolas" w:cs="Consolas" w:eastAsia="Consolas" w:hAnsi="Consolas"/>
          <w:sz w:val="18"/>
          <w:szCs w:val="18"/>
        </w:rPr>
        <w:t xml:space="preserve">/ios</w:t>
      </w:r>
      <w:r>
        <w:t xml:space="preserve"> and </w:t>
      </w:r>
      <w:r>
        <w:rPr>
          <w:rFonts w:ascii="Consolas" w:cs="Consolas" w:eastAsia="Consolas" w:hAnsi="Consolas"/>
          <w:sz w:val="18"/>
          <w:szCs w:val="18"/>
        </w:rPr>
        <w:t xml:space="preserve">/android</w:t>
      </w:r>
      <w:r>
        <w:t xml:space="preserve"> folders are git-ignored (generated). You cannot currently produce a signed App Store / Play build. App metadata (screenshots, descriptions, age rating, privacy nutrition labels) is also not prepared. </w:t>
      </w:r>
      <w:r>
        <w:rPr>
          <w:rFonts w:ascii="Consolas" w:cs="Consolas" w:eastAsia="Consolas" w:hAnsi="Consolas"/>
          <w:sz w:val="18"/>
          <w:szCs w:val="18"/>
        </w:rPr>
        <w:t xml:space="preserve">app.json</w:t>
      </w:r>
      <w:r>
        <w:t xml:space="preserve"> is still at version 1.0.0 with no build numbers configured.</w:t>
      </w:r>
    </w:p>
    <w:p>
      <w:pPr>
        <w:pStyle w:val="ListParagraph"/>
        <w:numPr>
          <w:ilvl w:val="0"/>
          <w:numId w:val="2"/>
        </w:numPr>
        <w:spacing w:after="70" w:line="270"/>
      </w:pPr>
      <w:r>
        <w:t xml:space="preserve">Fix: add an EAS Build profile set, configure iOS/Android credentials, prepare store listings, and complete Apple's App Privacy questionnaire (you do collect data and use a third-party AI processor — see 2.5).</w:t>
      </w:r>
    </w:p>
    <w:p>
      <w:pPr>
        <w:spacing w:after="60" w:before="120"/>
      </w:pPr>
      <w:r>
        <w:rPr>
          <w:b/>
          <w:bCs/>
          <w:color w:val="FFFFFF"/>
          <w:sz w:val="16"/>
          <w:szCs w:val="16"/>
          <w:shd w:fill="B23A2E" w:val="clear"/>
        </w:rPr>
        <w:t xml:space="preserve"> BLOCKER </w:t>
      </w:r>
      <w:r>
        <w:rPr>
          <w:b/>
          <w:bCs/>
        </w:rPr>
        <w:t xml:space="preserve">  Crash reporting is stubbed, not connected</w:t>
      </w:r>
    </w:p>
    <w:p>
      <w:pPr>
        <w:spacing w:after="140" w:line="276"/>
      </w:pPr>
      <w:r>
        <w:rPr>
          <w:rFonts w:ascii="Consolas" w:cs="Consolas" w:eastAsia="Consolas" w:hAnsi="Consolas"/>
          <w:sz w:val="18"/>
          <w:szCs w:val="18"/>
        </w:rPr>
        <w:t xml:space="preserve">utils/errorReporting.ts</w:t>
      </w:r>
      <w:r>
        <w:t xml:space="preserve"> is a clean Crashlytics-ready shim that currently only calls </w:t>
      </w:r>
      <w:r>
        <w:rPr>
          <w:rFonts w:ascii="Consolas" w:cs="Consolas" w:eastAsia="Consolas" w:hAnsi="Consolas"/>
          <w:sz w:val="18"/>
          <w:szCs w:val="18"/>
        </w:rPr>
        <w:t xml:space="preserve">console.warn</w:t>
      </w:r>
      <w:r>
        <w:t xml:space="preserve">. The actual provider integration is commented out. Every screen and the root boundary already route into this shim, so the wiring is one step away — but as shipped, production crashes are invisible to you. Launching without crash visibility means you learn about breakage from one-star reviews.</w:t>
      </w:r>
    </w:p>
    <w:p>
      <w:pPr>
        <w:pStyle w:val="ListParagraph"/>
        <w:numPr>
          <w:ilvl w:val="0"/>
          <w:numId w:val="2"/>
        </w:numPr>
        <w:spacing w:after="70" w:line="270"/>
      </w:pPr>
      <w:r>
        <w:t xml:space="preserve">Fix: connect the shim to Crashlytics (or Sentry) and verify a test crash appears in the dashboard before submitting.</w:t>
      </w:r>
    </w:p>
    <w:p>
      <w:pPr>
        <w:pStyle w:val="Heading2"/>
      </w:pPr>
      <w:r>
        <w:t xml:space="preserve">2.2 High priority (this sprint)</w:t>
      </w:r>
    </w:p>
    <w:p>
      <w:pPr>
        <w:spacing w:after="60"/>
      </w:pPr>
      <w:r>
        <w:rPr>
          <w:b/>
          <w:bCs/>
          <w:color w:val="FFFFFF"/>
          <w:sz w:val="16"/>
          <w:szCs w:val="16"/>
          <w:shd w:fill="B8791F" w:val="clear"/>
        </w:rPr>
        <w:t xml:space="preserve"> HIGH </w:t>
      </w:r>
      <w:r>
        <w:rPr>
          <w:b/>
          <w:bCs/>
        </w:rPr>
        <w:t xml:space="preserve">  No product analytics anywhere</w:t>
      </w:r>
    </w:p>
    <w:p>
      <w:pPr>
        <w:spacing w:after="140" w:line="276"/>
      </w:pPr>
      <w:r>
        <w:t xml:space="preserve">A repo-wide search returns zero analytics instrumentation (no Amplitude / Mixpanel / Firebase Analytics). You will not be able to answer basic launch questions: activation rate, how many users open the concierge, how many trip plans get started, where people drop off. For a business whose monetisation depends on proving engagement to winery partners, this is close to a blocker. Langfuse captures concierge traces, but nothing captures the rest of the funnel.</w:t>
      </w:r>
    </w:p>
    <w:p>
      <w:pPr>
        <w:spacing w:after="60" w:before="120"/>
      </w:pPr>
      <w:r>
        <w:rPr>
          <w:b/>
          <w:bCs/>
          <w:color w:val="FFFFFF"/>
          <w:sz w:val="16"/>
          <w:szCs w:val="16"/>
          <w:shd w:fill="B8791F" w:val="clear"/>
        </w:rPr>
        <w:t xml:space="preserve"> HIGH </w:t>
      </w:r>
      <w:r>
        <w:rPr>
          <w:b/>
          <w:bCs/>
        </w:rPr>
        <w:t xml:space="preserve">  Dead / non-functional controls shipped as if live (Profile)</w:t>
      </w:r>
    </w:p>
    <w:p>
      <w:pPr>
        <w:spacing w:after="140" w:line="276"/>
      </w:pPr>
      <w:r>
        <w:t xml:space="preserve">In </w:t>
      </w:r>
      <w:r>
        <w:rPr>
          <w:rFonts w:ascii="Consolas" w:cs="Consolas" w:eastAsia="Consolas" w:hAnsi="Consolas"/>
          <w:sz w:val="18"/>
          <w:szCs w:val="18"/>
        </w:rPr>
        <w:t xml:space="preserve">app/(tabs)/profile/index.tsx</w:t>
      </w:r>
      <w:r>
        <w:t xml:space="preserve">, the “Share profile” button, the “+ New list” link, and the saved-winery “Unsave” heart have no </w:t>
      </w:r>
      <w:r>
        <w:rPr>
          <w:rFonts w:ascii="Consolas" w:cs="Consolas" w:eastAsia="Consolas" w:hAnsi="Consolas"/>
          <w:sz w:val="18"/>
          <w:szCs w:val="18"/>
        </w:rPr>
        <w:t xml:space="preserve">onPress</w:t>
      </w:r>
      <w:r>
        <w:t xml:space="preserve"> handler — they look interactive (the heart even carries an accessibility label it cannot honour) but do nothing when tapped. Users read silent buttons as bugs. Either wire them up or hide them for v1.</w:t>
      </w:r>
    </w:p>
    <w:p>
      <w:pPr>
        <w:spacing w:after="60" w:before="120"/>
      </w:pPr>
      <w:r>
        <w:rPr>
          <w:b/>
          <w:bCs/>
          <w:color w:val="FFFFFF"/>
          <w:sz w:val="16"/>
          <w:szCs w:val="16"/>
          <w:shd w:fill="B8791F" w:val="clear"/>
        </w:rPr>
        <w:t xml:space="preserve"> HIGH </w:t>
      </w:r>
      <w:r>
        <w:rPr>
          <w:b/>
          <w:bCs/>
        </w:rPr>
        <w:t xml:space="preserve">  Production debug logging left in</w:t>
      </w:r>
    </w:p>
    <w:p>
      <w:pPr>
        <w:pStyle w:val="ListParagraph"/>
        <w:numPr>
          <w:ilvl w:val="0"/>
          <w:numId w:val="2"/>
        </w:numPr>
        <w:spacing w:after="70" w:line="270"/>
      </w:pPr>
      <w:r>
        <w:rPr>
          <w:rFonts w:ascii="Consolas" w:cs="Consolas" w:eastAsia="Consolas" w:hAnsi="Consolas"/>
          <w:sz w:val="18"/>
          <w:szCs w:val="18"/>
        </w:rPr>
        <w:t xml:space="preserve">app/auth.tsx</w:t>
      </w:r>
      <w:r>
        <w:t xml:space="preserve"> logs auth error objects with a “remove once diagnosed” note and is </w:t>
      </w:r>
      <w:r>
        <w:rPr>
          <w:i/>
          <w:iCs/>
        </w:rPr>
        <w:t xml:space="preserve">not</w:t>
      </w:r>
      <w:r>
        <w:t xml:space="preserve"> dev-gated — it will run in production builds.</w:t>
      </w:r>
    </w:p>
    <w:p>
      <w:pPr>
        <w:pStyle w:val="ListParagraph"/>
        <w:numPr>
          <w:ilvl w:val="0"/>
          <w:numId w:val="2"/>
        </w:numPr>
        <w:spacing w:after="70" w:line="270"/>
      </w:pPr>
      <w:r>
        <w:rPr>
          <w:rFonts w:ascii="Consolas" w:cs="Consolas" w:eastAsia="Consolas" w:hAnsi="Consolas"/>
          <w:sz w:val="18"/>
          <w:szCs w:val="18"/>
        </w:rPr>
        <w:t xml:space="preserve">app/(tabs)/wineries/index.tsx</w:t>
      </w:r>
      <w:r>
        <w:t xml:space="preserve"> runs a </w:t>
      </w:r>
      <w:r>
        <w:rPr>
          <w:rFonts w:ascii="Consolas" w:cs="Consolas" w:eastAsia="Consolas" w:hAnsi="Consolas"/>
          <w:sz w:val="18"/>
          <w:szCs w:val="18"/>
        </w:rPr>
        <w:t xml:space="preserve">[hero-debug]</w:t>
      </w:r>
      <w:r>
        <w:t xml:space="preserve"> console log for every card on every render inside the list. It is dev-gated, but it will noticeably degrade scroll performance in development on the app's busiest screen.</w:t>
      </w:r>
    </w:p>
    <w:p>
      <w:pPr>
        <w:spacing w:after="60" w:before="120"/>
      </w:pPr>
      <w:r>
        <w:rPr>
          <w:b/>
          <w:bCs/>
          <w:color w:val="FFFFFF"/>
          <w:sz w:val="16"/>
          <w:szCs w:val="16"/>
          <w:shd w:fill="B8791F" w:val="clear"/>
        </w:rPr>
        <w:t xml:space="preserve"> HIGH </w:t>
      </w:r>
      <w:r>
        <w:rPr>
          <w:b/>
          <w:bCs/>
        </w:rPr>
        <w:t xml:space="preserve">  Stale server caches delay content updates by hours</w:t>
      </w:r>
    </w:p>
    <w:p>
      <w:pPr>
        <w:spacing w:after="140" w:line="276"/>
      </w:pPr>
      <w:r>
        <w:t xml:space="preserve">The concierge orchestrator and region-config loader cache the winery corpus and region config in module-scope singletons with </w:t>
      </w:r>
      <w:r>
        <w:rPr>
          <w:b/>
          <w:bCs/>
        </w:rPr>
        <w:t xml:space="preserve">no TTL or invalidation</w:t>
      </w:r>
      <w:r>
        <w:t xml:space="preserve"> (</w:t>
      </w:r>
      <w:r>
        <w:rPr>
          <w:rFonts w:ascii="Consolas" w:cs="Consolas" w:eastAsia="Consolas" w:hAnsi="Consolas"/>
          <w:sz w:val="18"/>
          <w:szCs w:val="18"/>
        </w:rPr>
        <w:t xml:space="preserve">functions/src/concierge/orchestrator.ts</w:t>
      </w:r>
      <w:r>
        <w:t xml:space="preserve">, </w:t>
      </w:r>
      <w:r>
        <w:rPr>
          <w:rFonts w:ascii="Consolas" w:cs="Consolas" w:eastAsia="Consolas" w:hAnsi="Consolas"/>
          <w:sz w:val="18"/>
          <w:szCs w:val="18"/>
        </w:rPr>
        <w:t xml:space="preserve">regionConfig.ts</w:t>
      </w:r>
      <w:r>
        <w:t xml:space="preserve">). If you fix a winery's hours or edit the regional primer in Firestore, the change does not reach a warm container until it recycles — hours under steady traffic, up to a day. A related bug: the world-index string bakes in “today” at build time, so a container that stays warm past midnight will answer “is X open today?” using yesterday's day-of-week.</w:t>
      </w:r>
    </w:p>
    <w:p>
      <w:pPr>
        <w:pStyle w:val="ListParagraph"/>
        <w:numPr>
          <w:ilvl w:val="0"/>
          <w:numId w:val="2"/>
        </w:numPr>
        <w:spacing w:after="70" w:line="270"/>
      </w:pPr>
      <w:r>
        <w:t xml:space="preserve">Fix: add a 15–30 minute TTL to those caches (or an admin cache-clear endpoint), and compute “today” per turn rather than at cache-build time.</w:t>
      </w:r>
    </w:p>
    <w:p>
      <w:pPr>
        <w:spacing w:after="60" w:before="120"/>
      </w:pPr>
      <w:r>
        <w:rPr>
          <w:b/>
          <w:bCs/>
          <w:color w:val="FFFFFF"/>
          <w:sz w:val="16"/>
          <w:szCs w:val="16"/>
          <w:shd w:fill="B8791F" w:val="clear"/>
        </w:rPr>
        <w:t xml:space="preserve"> HIGH </w:t>
      </w:r>
      <w:r>
        <w:rPr>
          <w:b/>
          <w:bCs/>
        </w:rPr>
        <w:t xml:space="preserve">  Verbatim server errors reach the user, and no retry on transient AI failures</w:t>
      </w:r>
    </w:p>
    <w:p>
      <w:pPr>
        <w:spacing w:after="140" w:line="276"/>
      </w:pPr>
      <w:r>
        <w:t xml:space="preserve">Raw error messages from the orchestrator are forwarded to the chat as the error bubble; an OpenAI/Gemini key or quota error could surface internal detail to users. Separately, the response leg has no retry — a single transient 500/429 from the model provider loses the user's whole turn. Map known errors to safe strings, and add one jittered retry on 429/500/503.</w:t>
      </w:r>
    </w:p>
    <w:p>
      <w:pPr>
        <w:spacing w:after="60" w:before="120"/>
      </w:pPr>
      <w:r>
        <w:rPr>
          <w:b/>
          <w:bCs/>
          <w:color w:val="FFFFFF"/>
          <w:sz w:val="16"/>
          <w:szCs w:val="16"/>
          <w:shd w:fill="B8791F" w:val="clear"/>
        </w:rPr>
        <w:t xml:space="preserve"> HIGH </w:t>
      </w:r>
      <w:r>
        <w:rPr>
          <w:b/>
          <w:bCs/>
        </w:rPr>
        <w:t xml:space="preserve">  Restrict the bundled Google Maps API key</w:t>
      </w:r>
    </w:p>
    <w:p>
      <w:pPr>
        <w:spacing w:after="140" w:line="276"/>
      </w:pPr>
      <w:r>
        <w:rPr>
          <w:rFonts w:ascii="Consolas" w:cs="Consolas" w:eastAsia="Consolas" w:hAnsi="Consolas"/>
          <w:sz w:val="18"/>
          <w:szCs w:val="18"/>
        </w:rPr>
        <w:t xml:space="preserve">EXPO_PUBLIC_GOOGLE_MAPS_API_KEY</w:t>
      </w:r>
      <w:r>
        <w:t xml:space="preserve"> is injected into the native config and is therefore extractable from a release build (this is normal for client map keys). It must be locked down in Google Cloud Console to your iOS bundle ID / Android signing certificate and to the specific Maps SDKs you use, otherwise a scraped key can be used to run up Google billing against you.</w:t>
      </w:r>
    </w:p>
    <w:p>
      <w:pPr>
        <w:pStyle w:val="Heading2"/>
      </w:pPr>
      <w:r>
        <w:t xml:space="preserve">2.3 Medium priority &amp; tech debt</w:t>
      </w:r>
    </w:p>
    <w:p>
      <w:pPr>
        <w:pStyle w:val="ListParagraph"/>
        <w:numPr>
          <w:ilvl w:val="0"/>
          <w:numId w:val="2"/>
        </w:numPr>
        <w:spacing w:after="70" w:line="270"/>
      </w:pPr>
      <w:r>
        <w:rPr>
          <w:b/>
          <w:bCs/>
        </w:rPr>
        <w:t xml:space="preserve">No shared data-fetching hook. </w:t>
      </w:r>
      <w:r>
        <w:t xml:space="preserve">Firestore fetch/loading/error logic is hand-copied across home, wineries, trips and profile screens, and error handling is inconsistent — the wineries screen shows a proper error screen with retry, but the trips screens only </w:t>
      </w:r>
      <w:r>
        <w:rPr>
          <w:rFonts w:ascii="Consolas" w:cs="Consolas" w:eastAsia="Consolas" w:hAnsi="Consolas"/>
          <w:sz w:val="18"/>
          <w:szCs w:val="18"/>
        </w:rPr>
        <w:t xml:space="preserve">console.warn</w:t>
      </w:r>
      <w:r>
        <w:t xml:space="preserve"> and fall through to an empty “coming soon” state with no recovery. A returning user who hits a transient error on the Trips tab just sees nothing. A </w:t>
      </w:r>
      <w:r>
        <w:rPr>
          <w:rFonts w:ascii="Consolas" w:cs="Consolas" w:eastAsia="Consolas" w:hAnsi="Consolas"/>
          <w:sz w:val="18"/>
          <w:szCs w:val="18"/>
        </w:rPr>
        <w:t xml:space="preserve">useFirestoreCollection</w:t>
      </w:r>
      <w:r>
        <w:t xml:space="preserve"> hook would centralise this.</w:t>
      </w:r>
    </w:p>
    <w:p>
      <w:pPr>
        <w:pStyle w:val="ListParagraph"/>
        <w:numPr>
          <w:ilvl w:val="0"/>
          <w:numId w:val="2"/>
        </w:numPr>
        <w:spacing w:after="70" w:line="270"/>
      </w:pPr>
      <w:r>
        <w:rPr>
          <w:b/>
          <w:bCs/>
        </w:rPr>
        <w:t xml:space="preserve">FlatList performance. </w:t>
      </w:r>
      <w:r>
        <w:t xml:space="preserve">The main wineries list has no </w:t>
      </w:r>
      <w:r>
        <w:rPr>
          <w:rFonts w:ascii="Consolas" w:cs="Consolas" w:eastAsia="Consolas" w:hAnsi="Consolas"/>
          <w:sz w:val="18"/>
          <w:szCs w:val="18"/>
        </w:rPr>
        <w:t xml:space="preserve">removeClippedSubviews</w:t>
      </w:r>
      <w:r>
        <w:t xml:space="preserve">, batching, or windowing props; the profile screen renders saved items via </w:t>
      </w:r>
      <w:r>
        <w:rPr>
          <w:rFonts w:ascii="Consolas" w:cs="Consolas" w:eastAsia="Consolas" w:hAnsi="Consolas"/>
          <w:sz w:val="18"/>
          <w:szCs w:val="18"/>
        </w:rPr>
        <w:t xml:space="preserve">.map()</w:t>
      </w:r>
      <w:r>
        <w:t xml:space="preserve"> inside a ScrollView (no virtualisation). Fine at today's data volume, risky as tastings and saves grow.</w:t>
      </w:r>
    </w:p>
    <w:p>
      <w:pPr>
        <w:pStyle w:val="ListParagraph"/>
        <w:numPr>
          <w:ilvl w:val="0"/>
          <w:numId w:val="2"/>
        </w:numPr>
        <w:spacing w:after="70" w:line="270"/>
      </w:pPr>
      <w:r>
        <w:rPr>
          <w:b/>
          <w:bCs/>
        </w:rPr>
        <w:t xml:space="preserve">Telephone links unguarded. </w:t>
      </w:r>
      <w:r>
        <w:t xml:space="preserve">Several </w:t>
      </w:r>
      <w:r>
        <w:rPr>
          <w:rFonts w:ascii="Consolas" w:cs="Consolas" w:eastAsia="Consolas" w:hAnsi="Consolas"/>
          <w:sz w:val="18"/>
          <w:szCs w:val="18"/>
        </w:rPr>
        <w:t xml:space="preserve">Linking.openURL("tel:…")</w:t>
      </w:r>
      <w:r>
        <w:t xml:space="preserve"> calls have no capability check; on an iPad with no dialer these reject and only log a warning. The app advertises tablet support, so this path is reachable.</w:t>
      </w:r>
    </w:p>
    <w:p>
      <w:pPr>
        <w:pStyle w:val="ListParagraph"/>
        <w:numPr>
          <w:ilvl w:val="0"/>
          <w:numId w:val="2"/>
        </w:numPr>
        <w:spacing w:after="70" w:line="270"/>
      </w:pPr>
      <w:r>
        <w:rPr>
          <w:b/>
          <w:bCs/>
        </w:rPr>
        <w:t xml:space="preserve">Dead concierge code on the client. </w:t>
      </w:r>
      <w:r>
        <w:rPr>
          <w:rFonts w:ascii="Consolas" w:cs="Consolas" w:eastAsia="Consolas" w:hAnsi="Consolas"/>
          <w:sz w:val="18"/>
          <w:szCs w:val="18"/>
        </w:rPr>
        <w:t xml:space="preserve">services/concierge/ </w:t>
      </w:r>
      <w:r>
        <w:t xml:space="preserve">still contains the pre-migration orchestrator files, documented as dead. Harmless but worth the promised cleanup so a future contributor doesn't revive a secret-bearing path.</w:t>
      </w:r>
    </w:p>
    <w:p>
      <w:pPr>
        <w:pStyle w:val="ListParagraph"/>
        <w:numPr>
          <w:ilvl w:val="0"/>
          <w:numId w:val="2"/>
        </w:numPr>
        <w:spacing w:after="70" w:line="270"/>
      </w:pPr>
      <w:r>
        <w:rPr>
          <w:b/>
          <w:bCs/>
        </w:rPr>
        <w:t xml:space="preserve">Two hand-synced type definitions. </w:t>
      </w:r>
      <w:r>
        <w:rPr>
          <w:rFonts w:ascii="Consolas" w:cs="Consolas" w:eastAsia="Consolas" w:hAnsi="Consolas"/>
          <w:sz w:val="18"/>
          <w:szCs w:val="18"/>
        </w:rPr>
        <w:t xml:space="preserve">WineryDoc</w:t>
      </w:r>
      <w:r>
        <w:t xml:space="preserve"> and the region config types are duplicated between client and functions and kept in sync by hand because the functions </w:t>
      </w:r>
      <w:r>
        <w:rPr>
          <w:rFonts w:ascii="Consolas" w:cs="Consolas" w:eastAsia="Consolas" w:hAnsi="Consolas"/>
          <w:sz w:val="18"/>
          <w:szCs w:val="18"/>
        </w:rPr>
        <w:t xml:space="preserve">tsconfig</w:t>
      </w:r>
      <w:r>
        <w:t xml:space="preserve"> can't import out of its root. A shared package or a shape-assertion test would prevent silent drift.</w:t>
      </w:r>
    </w:p>
    <w:p>
      <w:pPr>
        <w:pStyle w:val="ListParagraph"/>
        <w:numPr>
          <w:ilvl w:val="0"/>
          <w:numId w:val="2"/>
        </w:numPr>
        <w:spacing w:after="70" w:line="270"/>
      </w:pPr>
      <w:r>
        <w:rPr>
          <w:b/>
          <w:bCs/>
        </w:rPr>
        <w:t xml:space="preserve">Deprecated default-font mechanism. </w:t>
      </w:r>
      <w:r>
        <w:rPr>
          <w:rFonts w:ascii="Consolas" w:cs="Consolas" w:eastAsia="Consolas" w:hAnsi="Consolas"/>
          <w:sz w:val="18"/>
          <w:szCs w:val="18"/>
        </w:rPr>
        <w:t xml:space="preserve">app/_layout.tsx</w:t>
      </w:r>
      <w:r>
        <w:t xml:space="preserve"> sets the global font via </w:t>
      </w:r>
      <w:r>
        <w:rPr>
          <w:rFonts w:ascii="Consolas" w:cs="Consolas" w:eastAsia="Consolas" w:hAnsi="Consolas"/>
          <w:sz w:val="18"/>
          <w:szCs w:val="18"/>
        </w:rPr>
        <w:t xml:space="preserve">Text.defaultProps</w:t>
      </w:r>
      <w:r>
        <w:t xml:space="preserve"> (cast through </w:t>
      </w:r>
      <w:r>
        <w:rPr>
          <w:rFonts w:ascii="Consolas" w:cs="Consolas" w:eastAsia="Consolas" w:hAnsi="Consolas"/>
          <w:sz w:val="18"/>
          <w:szCs w:val="18"/>
        </w:rPr>
        <w:t xml:space="preserve">any</w:t>
      </w:r>
      <w:r>
        <w:t xml:space="preserve">), which is deprecated in React 19 / RN 0.81 and could break on an SDK bump.</w:t>
      </w:r>
    </w:p>
    <w:p>
      <w:pPr>
        <w:pStyle w:val="ListParagraph"/>
        <w:numPr>
          <w:ilvl w:val="0"/>
          <w:numId w:val="2"/>
        </w:numPr>
        <w:spacing w:after="70" w:line="270"/>
      </w:pPr>
      <w:r>
        <w:rPr>
          <w:b/>
          <w:bCs/>
        </w:rPr>
        <w:t xml:space="preserve">Firestore TTL policy not yet applied. </w:t>
      </w:r>
      <w:r>
        <w:t xml:space="preserve">The rate-limit counters (</w:t>
      </w:r>
      <w:r>
        <w:rPr>
          <w:rFonts w:ascii="Consolas" w:cs="Consolas" w:eastAsia="Consolas" w:hAnsi="Consolas"/>
          <w:sz w:val="18"/>
          <w:szCs w:val="18"/>
        </w:rPr>
        <w:t xml:space="preserve">concierge_rate_limits</w:t>
      </w:r>
      <w:r>
        <w:t xml:space="preserve">) are designed for a TTL sweep on the </w:t>
      </w:r>
      <w:r>
        <w:rPr>
          <w:rFonts w:ascii="Consolas" w:cs="Consolas" w:eastAsia="Consolas" w:hAnsi="Consolas"/>
          <w:sz w:val="18"/>
          <w:szCs w:val="18"/>
        </w:rPr>
        <w:t xml:space="preserve">expiresAt</w:t>
      </w:r>
      <w:r>
        <w:t xml:space="preserve"> field, but that policy is a one-time manual setup that must actually be configured in the console.</w:t>
      </w:r>
    </w:p>
    <w:p>
      <w:pPr>
        <w:pStyle w:val="ListParagraph"/>
        <w:numPr>
          <w:ilvl w:val="0"/>
          <w:numId w:val="2"/>
        </w:numPr>
        <w:spacing w:after="70" w:line="270"/>
      </w:pPr>
      <w:r>
        <w:rPr>
          <w:b/>
          <w:bCs/>
        </w:rPr>
        <w:t xml:space="preserve">Uncommitted work in progress. </w:t>
      </w:r>
      <w:r>
        <w:t xml:space="preserve">The working tree has ~10 modified files and an untracked component; the repo is not in a clean, tagged, releasable state.</w:t>
      </w:r>
    </w:p>
    <w:p>
      <w:pPr>
        <w:pStyle w:val="Heading2"/>
      </w:pPr>
      <w:r>
        <w:t xml:space="preserve">2.4 UI / UX problems</w:t>
      </w:r>
    </w:p>
    <w:p>
      <w:pPr>
        <w:pStyle w:val="ListParagraph"/>
        <w:numPr>
          <w:ilvl w:val="0"/>
          <w:numId w:val="2"/>
        </w:numPr>
        <w:spacing w:after="70" w:line="270"/>
      </w:pPr>
      <w:r>
        <w:rPr>
          <w:b/>
          <w:bCs/>
        </w:rPr>
        <w:t xml:space="preserve">No onboarding or first-run priming. </w:t>
      </w:r>
      <w:r>
        <w:t xml:space="preserve">New users land on the auth screen then straight into home — no value-prop walkthrough, no context before the OS location/permission prompts fire. First-run is where tourist apps win or lose the install.</w:t>
      </w:r>
    </w:p>
    <w:p>
      <w:pPr>
        <w:pStyle w:val="ListParagraph"/>
        <w:numPr>
          <w:ilvl w:val="0"/>
          <w:numId w:val="2"/>
        </w:numPr>
        <w:spacing w:after="70" w:line="270"/>
      </w:pPr>
      <w:r>
        <w:rPr>
          <w:b/>
          <w:bCs/>
        </w:rPr>
        <w:t xml:space="preserve">Forced 2-second splash on every cold start. </w:t>
      </w:r>
      <w:r>
        <w:rPr>
          <w:rFonts w:ascii="Consolas" w:cs="Consolas" w:eastAsia="Consolas" w:hAnsi="Consolas"/>
          <w:sz w:val="18"/>
          <w:szCs w:val="18"/>
        </w:rPr>
        <w:t xml:space="preserve">app/index.tsx</w:t>
      </w:r>
      <w:r>
        <w:t xml:space="preserve"> gates the redirect on a fixed 2000ms timer even when auth resolves instantly — a guaranteed delay every launch. A branding choice, but a recurring UX tax.</w:t>
      </w:r>
    </w:p>
    <w:p>
      <w:pPr>
        <w:pStyle w:val="ListParagraph"/>
        <w:numPr>
          <w:ilvl w:val="0"/>
          <w:numId w:val="2"/>
        </w:numPr>
        <w:spacing w:after="70" w:line="270"/>
      </w:pPr>
      <w:r>
        <w:rPr>
          <w:b/>
          <w:bCs/>
        </w:rPr>
        <w:t xml:space="preserve">No settings surface. </w:t>
      </w:r>
      <w:r>
        <w:t xml:space="preserve">Account actions live only on the profile tab; there's no settings screen for notification preferences, region switching (only reachable via the hidden picker), or support/contact.</w:t>
      </w:r>
    </w:p>
    <w:p>
      <w:pPr>
        <w:pStyle w:val="ListParagraph"/>
        <w:numPr>
          <w:ilvl w:val="0"/>
          <w:numId w:val="2"/>
        </w:numPr>
        <w:spacing w:after="70" w:line="270"/>
      </w:pPr>
      <w:r>
        <w:rPr>
          <w:b/>
          <w:bCs/>
        </w:rPr>
        <w:t xml:space="preserve">Silent location denial. </w:t>
      </w:r>
      <w:r>
        <w:t xml:space="preserve">“Near Me” sort and the concierge request foreground location and fail silently if denied — there's no “entable location for Near Me” hint, so the feature just appears broken to a user who declined the OS prompt.</w:t>
      </w:r>
    </w:p>
    <w:p>
      <w:pPr>
        <w:pStyle w:val="ListParagraph"/>
        <w:numPr>
          <w:ilvl w:val="0"/>
          <w:numId w:val="2"/>
        </w:numPr>
        <w:spacing w:after="70" w:line="270"/>
      </w:pPr>
      <w:r>
        <w:rPr>
          <w:b/>
          <w:bCs/>
        </w:rPr>
        <w:t xml:space="preserve">Inconsistent error recovery. </w:t>
      </w:r>
      <w:r>
        <w:t xml:space="preserve">As above, some screens offer retry and some show a dead empty state. Standardise on the existing </w:t>
      </w:r>
      <w:r>
        <w:rPr>
          <w:rFonts w:ascii="Consolas" w:cs="Consolas" w:eastAsia="Consolas" w:hAnsi="Consolas"/>
          <w:sz w:val="18"/>
          <w:szCs w:val="18"/>
        </w:rPr>
        <w:t xml:space="preserve">ErrorScreen</w:t>
      </w:r>
      <w:r>
        <w:t xml:space="preserve"> with a retry CTA everywhere.</w:t>
      </w:r>
    </w:p>
    <w:p>
      <w:pPr>
        <w:pStyle w:val="ListParagraph"/>
        <w:numPr>
          <w:ilvl w:val="0"/>
          <w:numId w:val="2"/>
        </w:numPr>
        <w:spacing w:after="70" w:line="270"/>
      </w:pPr>
      <w:r>
        <w:rPr>
          <w:b/>
          <w:bCs/>
        </w:rPr>
        <w:t xml:space="preserve">Minor token drift. </w:t>
      </w:r>
      <w:r>
        <w:t xml:space="preserve">A few files still inline font sizes and </w:t>
      </w:r>
      <w:r>
        <w:rPr>
          <w:rFonts w:ascii="Consolas" w:cs="Consolas" w:eastAsia="Consolas" w:hAnsi="Consolas"/>
          <w:sz w:val="18"/>
          <w:szCs w:val="18"/>
        </w:rPr>
        <w:t xml:space="preserve">"600"/"700"</w:t>
      </w:r>
      <w:r>
        <w:t xml:space="preserve"> weights rather than theme tokens, against the project's own “no inline values” convention. Cosmetic.</w:t>
      </w:r>
    </w:p>
    <w:p>
      <w:pPr>
        <w:spacing w:after="140" w:line="276"/>
      </w:pPr>
      <w:r>
        <w:rPr>
          <w:b/>
          <w:bCs/>
        </w:rPr>
        <w:t xml:space="preserve">Resolved since the prior audit: </w:t>
      </w:r>
      <w:r>
        <w:t xml:space="preserve">the dev-only </w:t>
      </w:r>
      <w:r>
        <w:rPr>
          <w:rFonts w:ascii="Consolas" w:cs="Consolas" w:eastAsia="Consolas" w:hAnsi="Consolas"/>
          <w:sz w:val="18"/>
          <w:szCs w:val="18"/>
        </w:rPr>
        <w:t xml:space="preserve">CostMonitor</w:t>
      </w:r>
      <w:r>
        <w:t xml:space="preserve"> that previously rendered dollar costs to real users is gone — no cost UI ships to users now. Error boundaries, accessibility labels/roles, 44pt hit targets, listener cleanup, and the active-trip location-watch lifecycle are all in good shape.</w:t>
      </w:r>
    </w:p>
    <w:p>
      <w:pPr>
        <w:pStyle w:val="Heading2"/>
      </w:pPr>
      <w:r>
        <w:t xml:space="preserve">2.5 Privacy &amp; compliance</w:t>
      </w:r>
    </w:p>
    <w:p>
      <w:pPr>
        <w:pStyle w:val="ListParagraph"/>
        <w:numPr>
          <w:ilvl w:val="0"/>
          <w:numId w:val="2"/>
        </w:numPr>
        <w:spacing w:after="70" w:line="270"/>
      </w:pPr>
      <w:r>
        <w:rPr>
          <w:b/>
          <w:bCs/>
        </w:rPr>
        <w:t xml:space="preserve">Third-party AI processor disclosure. </w:t>
      </w:r>
      <w:r>
        <w:t xml:space="preserve">Every concierge turn sends the raw user message and assistant reply to Langfuse (a third-party processor) with session and user IDs, and to OpenAI/Gemini. Users may volunteer travel dates, partner names, locations. </w:t>
      </w:r>
      <w:r>
        <w:rPr>
          <w:rFonts w:ascii="Consolas" w:cs="Consolas" w:eastAsia="Consolas" w:hAnsi="Consolas"/>
          <w:sz w:val="18"/>
          <w:szCs w:val="18"/>
        </w:rPr>
        <w:t xml:space="preserve">public/privacy.html</w:t>
      </w:r>
      <w:r>
        <w:t xml:space="preserve"> exists; confirm it explicitly names these processors, and reflect this in Apple's privacy labels.</w:t>
      </w:r>
    </w:p>
    <w:p>
      <w:pPr>
        <w:pStyle w:val="ListParagraph"/>
        <w:numPr>
          <w:ilvl w:val="0"/>
          <w:numId w:val="2"/>
        </w:numPr>
        <w:spacing w:after="70" w:line="270"/>
      </w:pPr>
      <w:r>
        <w:rPr>
          <w:b/>
          <w:bCs/>
        </w:rPr>
        <w:t xml:space="preserve">Terms of Service acceptance. </w:t>
      </w:r>
      <w:r>
        <w:t xml:space="preserve">There is a privacy link on the profile screen but no ToS link and no acceptance step at sign-up — both stores generally expect this for an account-based app.</w:t>
      </w:r>
    </w:p>
    <w:p>
      <w:pPr>
        <w:pStyle w:val="ListParagraph"/>
        <w:numPr>
          <w:ilvl w:val="0"/>
          <w:numId w:val="2"/>
        </w:numPr>
        <w:spacing w:after="70" w:line="270"/>
      </w:pPr>
      <w:r>
        <w:rPr>
          <w:b/>
          <w:bCs/>
        </w:rPr>
        <w:t xml:space="preserve">Account deletion (good). </w:t>
      </w:r>
      <w:r>
        <w:t xml:space="preserve">A complete in-app account-deletion flow backed by a Cloud Function exists, satisfying Apple's 5.1.1(v) requirement.</w:t>
      </w:r>
    </w:p>
    <w:p>
      <w:pPr>
        <w:pStyle w:val="Heading2"/>
      </w:pPr>
      <w:r>
        <w:t xml:space="preserve">2.6 Multi-region (Sonoma) readiness</w:t>
      </w:r>
    </w:p>
    <w:p>
      <w:pPr>
        <w:spacing w:after="140" w:line="276"/>
      </w:pPr>
      <w:r>
        <w:t xml:space="preserve">This is a genuine strength. The app is not hard-wired to Tasmania: region state is owned by a dedicated context that reads a per-region config document from Firestore, the concierge is region-scoped end to end (corpus, prompt, RAG namespace), and there is a written, step-by-step playbook (docs/adding-a-new-region.md) plus a region seed script. The picker even auto-hides when only one region exists, so the single-region experience stays clean.</w:t>
      </w:r>
    </w:p>
    <w:p>
      <w:pPr>
        <w:spacing w:after="140" w:line="276"/>
      </w:pPr>
      <w:r>
        <w:t xml:space="preserve">The honest caveat is that only one region (Tasmania) is actually seeded today, so the playbook is unproven in practice. A few user-facing strings and fallbacks are still Tasmania-specific and would read wrong in Sonoma:</w:t>
      </w:r>
    </w:p>
    <w:p>
      <w:pPr>
        <w:pStyle w:val="ListParagraph"/>
        <w:numPr>
          <w:ilvl w:val="0"/>
          <w:numId w:val="2"/>
        </w:numPr>
        <w:spacing w:after="70" w:line="270"/>
      </w:pPr>
      <w:r>
        <w:t xml:space="preserve">“The Tassie Pour” is hardcoded as a screen title and in the article share text (home layout, pour screen, EditorialLayout).</w:t>
      </w:r>
    </w:p>
    <w:p>
      <w:pPr>
        <w:pStyle w:val="ListParagraph"/>
        <w:numPr>
          <w:ilvl w:val="0"/>
          <w:numId w:val="2"/>
        </w:numPr>
        <w:spacing w:after="70" w:line="270"/>
      </w:pPr>
      <w:r>
        <w:t xml:space="preserve">The concierge defaults a winery's region label to “TASMANIA” when the field is absent, and the home hero plus trip-map fallbacks use hardcoded Tasmania imagery/coordinates instead of reading from the region config's map bounds.</w:t>
      </w:r>
    </w:p>
    <w:p>
      <w:pPr>
        <w:pStyle w:val="ListParagraph"/>
        <w:numPr>
          <w:ilvl w:val="0"/>
          <w:numId w:val="2"/>
        </w:numPr>
        <w:spacing w:after="70" w:line="270"/>
      </w:pPr>
      <w:r>
        <w:t xml:space="preserve">Note: the project's own CLAUDE.md still references a </w:t>
      </w:r>
      <w:r>
        <w:rPr>
          <w:rFonts w:ascii="Consolas" w:cs="Consolas" w:eastAsia="Consolas" w:hAnsi="Consolas"/>
          <w:sz w:val="18"/>
          <w:szCs w:val="18"/>
        </w:rPr>
        <w:t xml:space="preserve">constants/region.ts</w:t>
      </w:r>
      <w:r>
        <w:t xml:space="preserve"> module that no longer exists — region naming moved into the Firestore-backed config. Minor doc drift worth correcting so future work doesn't chase a deleted file.</w:t>
      </w:r>
    </w:p>
    <w:p>
      <w:pPr>
        <w:spacing w:after="140" w:line="276"/>
      </w:pPr>
      <w:r>
        <w:rPr>
          <w:b/>
          <w:bCs/>
        </w:rPr>
        <w:t xml:space="preserve">Recommendation: </w:t>
      </w:r>
      <w:r>
        <w:t xml:space="preserve">before committing to a second market, actually seed one (even a small Sonoma sub-set) and walk the playbook end to end. That both proves the abstraction and flushes out the remaining hardcoded strings. The cost of doing this is low and it de-risks the entire scaling thesis in Part B.</w:t>
      </w:r>
    </w:p>
    <w:p>
      <w:pPr>
        <w:pStyle w:val="Heading2"/>
      </w:pPr>
      <w:r>
        <w:t xml:space="preserve">2.7 Pre-launch checklist</w:t>
      </w:r>
    </w:p>
    <w:tbl>
      <w:tblPr>
        <w:tblW w:type="dxa" w:w="9360"/>
        <w:tblBorders>
          <w:top w:val="single" w:color="CFD8CF" w:sz="1"/>
          <w:left w:val="single" w:color="CFD8CF" w:sz="1"/>
          <w:bottom w:val="single" w:color="CFD8CF" w:sz="1"/>
          <w:right w:val="single" w:color="CFD8CF" w:sz="1"/>
          <w:insideH w:val="single" w:color="CFD8CF" w:sz="1"/>
          <w:insideV w:val="single" w:color="CFD8CF" w:sz="1"/>
        </w:tblBorders>
      </w:tblPr>
      <w:tblGrid>
        <w:gridCol w:w="500"/>
        <w:gridCol w:w="5560"/>
        <w:gridCol w:w="1500"/>
        <w:gridCol w:w="1800"/>
      </w:tblGrid>
      <w:tr>
        <w:trPr>
          <w:tblHeader/>
        </w:trPr>
        <w:tc>
          <w:tcPr>
            <w:tcW w:type="dxa" w:w="500"/>
            <w:shd w:fill="548323" w:val="clear"/>
            <w:tcMar>
              <w:top w:type="dxa" w:w="60"/>
              <w:left w:type="dxa" w:w="110"/>
              <w:bottom w:type="dxa" w:w="60"/>
              <w:right w:type="dxa" w:w="110"/>
            </w:tcMar>
          </w:tcPr>
          <w:p>
            <w:r>
              <w:rPr>
                <w:b/>
                <w:bCs/>
                <w:color w:val="FFFFFF"/>
                <w:sz w:val="19"/>
                <w:szCs w:val="19"/>
              </w:rPr>
              <w:t xml:space="preserve">#</w:t>
            </w:r>
          </w:p>
        </w:tc>
        <w:tc>
          <w:tcPr>
            <w:tcW w:type="dxa" w:w="5560"/>
            <w:shd w:fill="548323" w:val="clear"/>
            <w:tcMar>
              <w:top w:type="dxa" w:w="60"/>
              <w:left w:type="dxa" w:w="110"/>
              <w:bottom w:type="dxa" w:w="60"/>
              <w:right w:type="dxa" w:w="110"/>
            </w:tcMar>
          </w:tcPr>
          <w:p>
            <w:r>
              <w:rPr>
                <w:b/>
                <w:bCs/>
                <w:color w:val="FFFFFF"/>
                <w:sz w:val="19"/>
                <w:szCs w:val="19"/>
              </w:rPr>
              <w:t xml:space="preserve">Item</w:t>
            </w:r>
          </w:p>
        </w:tc>
        <w:tc>
          <w:tcPr>
            <w:tcW w:type="dxa" w:w="1500"/>
            <w:shd w:fill="548323" w:val="clear"/>
            <w:tcMar>
              <w:top w:type="dxa" w:w="60"/>
              <w:left w:type="dxa" w:w="110"/>
              <w:bottom w:type="dxa" w:w="60"/>
              <w:right w:type="dxa" w:w="110"/>
            </w:tcMar>
          </w:tcPr>
          <w:p>
            <w:r>
              <w:rPr>
                <w:b/>
                <w:bCs/>
                <w:color w:val="FFFFFF"/>
                <w:sz w:val="19"/>
                <w:szCs w:val="19"/>
              </w:rPr>
              <w:t xml:space="preserve">Severity</w:t>
            </w:r>
          </w:p>
        </w:tc>
        <w:tc>
          <w:tcPr>
            <w:tcW w:type="dxa" w:w="1800"/>
            <w:shd w:fill="548323" w:val="clear"/>
            <w:tcMar>
              <w:top w:type="dxa" w:w="60"/>
              <w:left w:type="dxa" w:w="110"/>
              <w:bottom w:type="dxa" w:w="60"/>
              <w:right w:type="dxa" w:w="110"/>
            </w:tcMar>
          </w:tcPr>
          <w:p>
            <w:r>
              <w:rPr>
                <w:b/>
                <w:bCs/>
                <w:color w:val="FFFFFF"/>
                <w:sz w:val="19"/>
                <w:szCs w:val="19"/>
              </w:rPr>
              <w:t xml:space="preserve">Area</w:t>
            </w:r>
          </w:p>
        </w:tc>
      </w:tr>
      <w:tr>
        <w:tc>
          <w:tcPr>
            <w:tcW w:type="dxa" w:w="500"/>
            <w:shd w:fill="FFFFFF" w:val="clear"/>
            <w:tcMar>
              <w:top w:type="dxa" w:w="60"/>
              <w:left w:type="dxa" w:w="110"/>
              <w:bottom w:type="dxa" w:w="60"/>
              <w:right w:type="dxa" w:w="110"/>
            </w:tcMar>
          </w:tcPr>
          <w:p>
            <w:r>
              <w:rPr>
                <w:sz w:val="19"/>
                <w:szCs w:val="19"/>
              </w:rPr>
              <w:t xml:space="preserve">1</w:t>
            </w:r>
          </w:p>
        </w:tc>
        <w:tc>
          <w:tcPr>
            <w:tcW w:type="dxa" w:w="5560"/>
            <w:shd w:fill="FFFFFF" w:val="clear"/>
            <w:tcMar>
              <w:top w:type="dxa" w:w="60"/>
              <w:left w:type="dxa" w:w="110"/>
              <w:bottom w:type="dxa" w:w="60"/>
              <w:right w:type="dxa" w:w="110"/>
            </w:tcMar>
          </w:tcPr>
          <w:p>
            <w:r>
              <w:rPr>
                <w:sz w:val="19"/>
                <w:szCs w:val="19"/>
              </w:rPr>
              <w:t xml:space="preserve">Register apps for App Check and enable enforcement</w:t>
            </w:r>
          </w:p>
        </w:tc>
        <w:tc>
          <w:tcPr>
            <w:tcW w:type="dxa" w:w="1500"/>
            <w:shd w:fill="FFFFFF" w:val="clear"/>
            <w:tcMar>
              <w:top w:type="dxa" w:w="60"/>
              <w:left w:type="dxa" w:w="110"/>
              <w:bottom w:type="dxa" w:w="60"/>
              <w:right w:type="dxa" w:w="110"/>
            </w:tcMar>
          </w:tcPr>
          <w:p>
            <w:r>
              <w:rPr>
                <w:b/>
                <w:bCs/>
                <w:color w:val="B23A2E"/>
                <w:sz w:val="19"/>
                <w:szCs w:val="19"/>
              </w:rPr>
              <w:t xml:space="preserve">Blocker</w:t>
            </w:r>
          </w:p>
        </w:tc>
        <w:tc>
          <w:tcPr>
            <w:tcW w:type="dxa" w:w="1800"/>
            <w:shd w:fill="FFFFFF" w:val="clear"/>
            <w:tcMar>
              <w:top w:type="dxa" w:w="60"/>
              <w:left w:type="dxa" w:w="110"/>
              <w:bottom w:type="dxa" w:w="60"/>
              <w:right w:type="dxa" w:w="110"/>
            </w:tcMar>
          </w:tcPr>
          <w:p>
            <w:r>
              <w:rPr>
                <w:sz w:val="19"/>
                <w:szCs w:val="19"/>
              </w:rPr>
              <w:t xml:space="preserve">Security</w:t>
            </w:r>
          </w:p>
        </w:tc>
      </w:tr>
      <w:tr>
        <w:tc>
          <w:tcPr>
            <w:tcW w:type="dxa" w:w="500"/>
            <w:shd w:fill="F4F7F3" w:val="clear"/>
            <w:tcMar>
              <w:top w:type="dxa" w:w="60"/>
              <w:left w:type="dxa" w:w="110"/>
              <w:bottom w:type="dxa" w:w="60"/>
              <w:right w:type="dxa" w:w="110"/>
            </w:tcMar>
          </w:tcPr>
          <w:p>
            <w:r>
              <w:rPr>
                <w:sz w:val="19"/>
                <w:szCs w:val="19"/>
              </w:rPr>
              <w:t xml:space="preserve">2</w:t>
            </w:r>
          </w:p>
        </w:tc>
        <w:tc>
          <w:tcPr>
            <w:tcW w:type="dxa" w:w="5560"/>
            <w:shd w:fill="F4F7F3" w:val="clear"/>
            <w:tcMar>
              <w:top w:type="dxa" w:w="60"/>
              <w:left w:type="dxa" w:w="110"/>
              <w:bottom w:type="dxa" w:w="60"/>
              <w:right w:type="dxa" w:w="110"/>
            </w:tcMar>
          </w:tcPr>
          <w:p>
            <w:r>
              <w:rPr>
                <w:sz w:val="19"/>
                <w:szCs w:val="19"/>
              </w:rPr>
              <w:t xml:space="preserve">Create EAS build config + store assets + ToS</w:t>
            </w:r>
          </w:p>
        </w:tc>
        <w:tc>
          <w:tcPr>
            <w:tcW w:type="dxa" w:w="1500"/>
            <w:shd w:fill="F4F7F3" w:val="clear"/>
            <w:tcMar>
              <w:top w:type="dxa" w:w="60"/>
              <w:left w:type="dxa" w:w="110"/>
              <w:bottom w:type="dxa" w:w="60"/>
              <w:right w:type="dxa" w:w="110"/>
            </w:tcMar>
          </w:tcPr>
          <w:p>
            <w:r>
              <w:rPr>
                <w:b/>
                <w:bCs/>
                <w:color w:val="B23A2E"/>
                <w:sz w:val="19"/>
                <w:szCs w:val="19"/>
              </w:rPr>
              <w:t xml:space="preserve">Blocker</w:t>
            </w:r>
          </w:p>
        </w:tc>
        <w:tc>
          <w:tcPr>
            <w:tcW w:type="dxa" w:w="1800"/>
            <w:shd w:fill="F4F7F3" w:val="clear"/>
            <w:tcMar>
              <w:top w:type="dxa" w:w="60"/>
              <w:left w:type="dxa" w:w="110"/>
              <w:bottom w:type="dxa" w:w="60"/>
              <w:right w:type="dxa" w:w="110"/>
            </w:tcMar>
          </w:tcPr>
          <w:p>
            <w:r>
              <w:rPr>
                <w:sz w:val="19"/>
                <w:szCs w:val="19"/>
              </w:rPr>
              <w:t xml:space="preserve">Release</w:t>
            </w:r>
          </w:p>
        </w:tc>
      </w:tr>
      <w:tr>
        <w:tc>
          <w:tcPr>
            <w:tcW w:type="dxa" w:w="500"/>
            <w:shd w:fill="FFFFFF" w:val="clear"/>
            <w:tcMar>
              <w:top w:type="dxa" w:w="60"/>
              <w:left w:type="dxa" w:w="110"/>
              <w:bottom w:type="dxa" w:w="60"/>
              <w:right w:type="dxa" w:w="110"/>
            </w:tcMar>
          </w:tcPr>
          <w:p>
            <w:r>
              <w:rPr>
                <w:sz w:val="19"/>
                <w:szCs w:val="19"/>
              </w:rPr>
              <w:t xml:space="preserve">3</w:t>
            </w:r>
          </w:p>
        </w:tc>
        <w:tc>
          <w:tcPr>
            <w:tcW w:type="dxa" w:w="5560"/>
            <w:shd w:fill="FFFFFF" w:val="clear"/>
            <w:tcMar>
              <w:top w:type="dxa" w:w="60"/>
              <w:left w:type="dxa" w:w="110"/>
              <w:bottom w:type="dxa" w:w="60"/>
              <w:right w:type="dxa" w:w="110"/>
            </w:tcMar>
          </w:tcPr>
          <w:p>
            <w:r>
              <w:rPr>
                <w:sz w:val="19"/>
                <w:szCs w:val="19"/>
              </w:rPr>
              <w:t xml:space="preserve">Connect Crashlytics/Sentry to the error shim</w:t>
            </w:r>
          </w:p>
        </w:tc>
        <w:tc>
          <w:tcPr>
            <w:tcW w:type="dxa" w:w="1500"/>
            <w:shd w:fill="FFFFFF" w:val="clear"/>
            <w:tcMar>
              <w:top w:type="dxa" w:w="60"/>
              <w:left w:type="dxa" w:w="110"/>
              <w:bottom w:type="dxa" w:w="60"/>
              <w:right w:type="dxa" w:w="110"/>
            </w:tcMar>
          </w:tcPr>
          <w:p>
            <w:r>
              <w:rPr>
                <w:b/>
                <w:bCs/>
                <w:color w:val="B23A2E"/>
                <w:sz w:val="19"/>
                <w:szCs w:val="19"/>
              </w:rPr>
              <w:t xml:space="preserve">Blocker</w:t>
            </w:r>
          </w:p>
        </w:tc>
        <w:tc>
          <w:tcPr>
            <w:tcW w:type="dxa" w:w="1800"/>
            <w:shd w:fill="FFFFFF" w:val="clear"/>
            <w:tcMar>
              <w:top w:type="dxa" w:w="60"/>
              <w:left w:type="dxa" w:w="110"/>
              <w:bottom w:type="dxa" w:w="60"/>
              <w:right w:type="dxa" w:w="110"/>
            </w:tcMar>
          </w:tcPr>
          <w:p>
            <w:r>
              <w:rPr>
                <w:sz w:val="19"/>
                <w:szCs w:val="19"/>
              </w:rPr>
              <w:t xml:space="preserve">Ops</w:t>
            </w:r>
          </w:p>
        </w:tc>
      </w:tr>
      <w:tr>
        <w:tc>
          <w:tcPr>
            <w:tcW w:type="dxa" w:w="500"/>
            <w:shd w:fill="F4F7F3" w:val="clear"/>
            <w:tcMar>
              <w:top w:type="dxa" w:w="60"/>
              <w:left w:type="dxa" w:w="110"/>
              <w:bottom w:type="dxa" w:w="60"/>
              <w:right w:type="dxa" w:w="110"/>
            </w:tcMar>
          </w:tcPr>
          <w:p>
            <w:r>
              <w:rPr>
                <w:sz w:val="19"/>
                <w:szCs w:val="19"/>
              </w:rPr>
              <w:t xml:space="preserve">4</w:t>
            </w:r>
          </w:p>
        </w:tc>
        <w:tc>
          <w:tcPr>
            <w:tcW w:type="dxa" w:w="5560"/>
            <w:shd w:fill="F4F7F3" w:val="clear"/>
            <w:tcMar>
              <w:top w:type="dxa" w:w="60"/>
              <w:left w:type="dxa" w:w="110"/>
              <w:bottom w:type="dxa" w:w="60"/>
              <w:right w:type="dxa" w:w="110"/>
            </w:tcMar>
          </w:tcPr>
          <w:p>
            <w:r>
              <w:rPr>
                <w:sz w:val="19"/>
                <w:szCs w:val="19"/>
              </w:rPr>
              <w:t xml:space="preserve">Add product analytics (funnel + concierge events)</w:t>
            </w:r>
          </w:p>
        </w:tc>
        <w:tc>
          <w:tcPr>
            <w:tcW w:type="dxa" w:w="1500"/>
            <w:shd w:fill="F4F7F3" w:val="clear"/>
            <w:tcMar>
              <w:top w:type="dxa" w:w="60"/>
              <w:left w:type="dxa" w:w="110"/>
              <w:bottom w:type="dxa" w:w="60"/>
              <w:right w:type="dxa" w:w="110"/>
            </w:tcMar>
          </w:tcPr>
          <w:p>
            <w:r>
              <w:rPr>
                <w:b/>
                <w:bCs/>
                <w:color w:val="B8791F"/>
                <w:sz w:val="19"/>
                <w:szCs w:val="19"/>
              </w:rPr>
              <w:t xml:space="preserve">High</w:t>
            </w:r>
          </w:p>
        </w:tc>
        <w:tc>
          <w:tcPr>
            <w:tcW w:type="dxa" w:w="1800"/>
            <w:shd w:fill="F4F7F3" w:val="clear"/>
            <w:tcMar>
              <w:top w:type="dxa" w:w="60"/>
              <w:left w:type="dxa" w:w="110"/>
              <w:bottom w:type="dxa" w:w="60"/>
              <w:right w:type="dxa" w:w="110"/>
            </w:tcMar>
          </w:tcPr>
          <w:p>
            <w:r>
              <w:rPr>
                <w:sz w:val="19"/>
                <w:szCs w:val="19"/>
              </w:rPr>
              <w:t xml:space="preserve">Ops</w:t>
            </w:r>
          </w:p>
        </w:tc>
      </w:tr>
      <w:tr>
        <w:tc>
          <w:tcPr>
            <w:tcW w:type="dxa" w:w="500"/>
            <w:shd w:fill="FFFFFF" w:val="clear"/>
            <w:tcMar>
              <w:top w:type="dxa" w:w="60"/>
              <w:left w:type="dxa" w:w="110"/>
              <w:bottom w:type="dxa" w:w="60"/>
              <w:right w:type="dxa" w:w="110"/>
            </w:tcMar>
          </w:tcPr>
          <w:p>
            <w:r>
              <w:rPr>
                <w:sz w:val="19"/>
                <w:szCs w:val="19"/>
              </w:rPr>
              <w:t xml:space="preserve">5</w:t>
            </w:r>
          </w:p>
        </w:tc>
        <w:tc>
          <w:tcPr>
            <w:tcW w:type="dxa" w:w="5560"/>
            <w:shd w:fill="FFFFFF" w:val="clear"/>
            <w:tcMar>
              <w:top w:type="dxa" w:w="60"/>
              <w:left w:type="dxa" w:w="110"/>
              <w:bottom w:type="dxa" w:w="60"/>
              <w:right w:type="dxa" w:w="110"/>
            </w:tcMar>
          </w:tcPr>
          <w:p>
            <w:r>
              <w:rPr>
                <w:sz w:val="19"/>
                <w:szCs w:val="19"/>
              </w:rPr>
              <w:t xml:space="preserve">Wire or hide dead profile buttons</w:t>
            </w:r>
          </w:p>
        </w:tc>
        <w:tc>
          <w:tcPr>
            <w:tcW w:type="dxa" w:w="1500"/>
            <w:shd w:fill="FFFFFF" w:val="clear"/>
            <w:tcMar>
              <w:top w:type="dxa" w:w="60"/>
              <w:left w:type="dxa" w:w="110"/>
              <w:bottom w:type="dxa" w:w="60"/>
              <w:right w:type="dxa" w:w="110"/>
            </w:tcMar>
          </w:tcPr>
          <w:p>
            <w:r>
              <w:rPr>
                <w:b/>
                <w:bCs/>
                <w:color w:val="B8791F"/>
                <w:sz w:val="19"/>
                <w:szCs w:val="19"/>
              </w:rPr>
              <w:t xml:space="preserve">High</w:t>
            </w:r>
          </w:p>
        </w:tc>
        <w:tc>
          <w:tcPr>
            <w:tcW w:type="dxa" w:w="1800"/>
            <w:shd w:fill="FFFFFF" w:val="clear"/>
            <w:tcMar>
              <w:top w:type="dxa" w:w="60"/>
              <w:left w:type="dxa" w:w="110"/>
              <w:bottom w:type="dxa" w:w="60"/>
              <w:right w:type="dxa" w:w="110"/>
            </w:tcMar>
          </w:tcPr>
          <w:p>
            <w:r>
              <w:rPr>
                <w:sz w:val="19"/>
                <w:szCs w:val="19"/>
              </w:rPr>
              <w:t xml:space="preserve">UX</w:t>
            </w:r>
          </w:p>
        </w:tc>
      </w:tr>
      <w:tr>
        <w:tc>
          <w:tcPr>
            <w:tcW w:type="dxa" w:w="500"/>
            <w:shd w:fill="F4F7F3" w:val="clear"/>
            <w:tcMar>
              <w:top w:type="dxa" w:w="60"/>
              <w:left w:type="dxa" w:w="110"/>
              <w:bottom w:type="dxa" w:w="60"/>
              <w:right w:type="dxa" w:w="110"/>
            </w:tcMar>
          </w:tcPr>
          <w:p>
            <w:r>
              <w:rPr>
                <w:sz w:val="19"/>
                <w:szCs w:val="19"/>
              </w:rPr>
              <w:t xml:space="preserve">6</w:t>
            </w:r>
          </w:p>
        </w:tc>
        <w:tc>
          <w:tcPr>
            <w:tcW w:type="dxa" w:w="5560"/>
            <w:shd w:fill="F4F7F3" w:val="clear"/>
            <w:tcMar>
              <w:top w:type="dxa" w:w="60"/>
              <w:left w:type="dxa" w:w="110"/>
              <w:bottom w:type="dxa" w:w="60"/>
              <w:right w:type="dxa" w:w="110"/>
            </w:tcMar>
          </w:tcPr>
          <w:p>
            <w:r>
              <w:rPr>
                <w:sz w:val="19"/>
                <w:szCs w:val="19"/>
              </w:rPr>
              <w:t xml:space="preserve">Remove production debug logs</w:t>
            </w:r>
          </w:p>
        </w:tc>
        <w:tc>
          <w:tcPr>
            <w:tcW w:type="dxa" w:w="1500"/>
            <w:shd w:fill="F4F7F3" w:val="clear"/>
            <w:tcMar>
              <w:top w:type="dxa" w:w="60"/>
              <w:left w:type="dxa" w:w="110"/>
              <w:bottom w:type="dxa" w:w="60"/>
              <w:right w:type="dxa" w:w="110"/>
            </w:tcMar>
          </w:tcPr>
          <w:p>
            <w:r>
              <w:rPr>
                <w:b/>
                <w:bCs/>
                <w:color w:val="B8791F"/>
                <w:sz w:val="19"/>
                <w:szCs w:val="19"/>
              </w:rPr>
              <w:t xml:space="preserve">High</w:t>
            </w:r>
          </w:p>
        </w:tc>
        <w:tc>
          <w:tcPr>
            <w:tcW w:type="dxa" w:w="1800"/>
            <w:shd w:fill="F4F7F3" w:val="clear"/>
            <w:tcMar>
              <w:top w:type="dxa" w:w="60"/>
              <w:left w:type="dxa" w:w="110"/>
              <w:bottom w:type="dxa" w:w="60"/>
              <w:right w:type="dxa" w:w="110"/>
            </w:tcMar>
          </w:tcPr>
          <w:p>
            <w:r>
              <w:rPr>
                <w:sz w:val="19"/>
                <w:szCs w:val="19"/>
              </w:rPr>
              <w:t xml:space="preserve">Polish</w:t>
            </w:r>
          </w:p>
        </w:tc>
      </w:tr>
      <w:tr>
        <w:tc>
          <w:tcPr>
            <w:tcW w:type="dxa" w:w="500"/>
            <w:shd w:fill="FFFFFF" w:val="clear"/>
            <w:tcMar>
              <w:top w:type="dxa" w:w="60"/>
              <w:left w:type="dxa" w:w="110"/>
              <w:bottom w:type="dxa" w:w="60"/>
              <w:right w:type="dxa" w:w="110"/>
            </w:tcMar>
          </w:tcPr>
          <w:p>
            <w:r>
              <w:rPr>
                <w:sz w:val="19"/>
                <w:szCs w:val="19"/>
              </w:rPr>
              <w:t xml:space="preserve">7</w:t>
            </w:r>
          </w:p>
        </w:tc>
        <w:tc>
          <w:tcPr>
            <w:tcW w:type="dxa" w:w="5560"/>
            <w:shd w:fill="FFFFFF" w:val="clear"/>
            <w:tcMar>
              <w:top w:type="dxa" w:w="60"/>
              <w:left w:type="dxa" w:w="110"/>
              <w:bottom w:type="dxa" w:w="60"/>
              <w:right w:type="dxa" w:w="110"/>
            </w:tcMar>
          </w:tcPr>
          <w:p>
            <w:r>
              <w:rPr>
                <w:sz w:val="19"/>
                <w:szCs w:val="19"/>
              </w:rPr>
              <w:t xml:space="preserve">Add TTL to server caches; fix “today” staleness</w:t>
            </w:r>
          </w:p>
        </w:tc>
        <w:tc>
          <w:tcPr>
            <w:tcW w:type="dxa" w:w="1500"/>
            <w:shd w:fill="FFFFFF" w:val="clear"/>
            <w:tcMar>
              <w:top w:type="dxa" w:w="60"/>
              <w:left w:type="dxa" w:w="110"/>
              <w:bottom w:type="dxa" w:w="60"/>
              <w:right w:type="dxa" w:w="110"/>
            </w:tcMar>
          </w:tcPr>
          <w:p>
            <w:r>
              <w:rPr>
                <w:b/>
                <w:bCs/>
                <w:color w:val="B8791F"/>
                <w:sz w:val="19"/>
                <w:szCs w:val="19"/>
              </w:rPr>
              <w:t xml:space="preserve">High</w:t>
            </w:r>
          </w:p>
        </w:tc>
        <w:tc>
          <w:tcPr>
            <w:tcW w:type="dxa" w:w="1800"/>
            <w:shd w:fill="FFFFFF" w:val="clear"/>
            <w:tcMar>
              <w:top w:type="dxa" w:w="60"/>
              <w:left w:type="dxa" w:w="110"/>
              <w:bottom w:type="dxa" w:w="60"/>
              <w:right w:type="dxa" w:w="110"/>
            </w:tcMar>
          </w:tcPr>
          <w:p>
            <w:r>
              <w:rPr>
                <w:sz w:val="19"/>
                <w:szCs w:val="19"/>
              </w:rPr>
              <w:t xml:space="preserve">AI</w:t>
            </w:r>
          </w:p>
        </w:tc>
      </w:tr>
      <w:tr>
        <w:tc>
          <w:tcPr>
            <w:tcW w:type="dxa" w:w="500"/>
            <w:shd w:fill="F4F7F3" w:val="clear"/>
            <w:tcMar>
              <w:top w:type="dxa" w:w="60"/>
              <w:left w:type="dxa" w:w="110"/>
              <w:bottom w:type="dxa" w:w="60"/>
              <w:right w:type="dxa" w:w="110"/>
            </w:tcMar>
          </w:tcPr>
          <w:p>
            <w:r>
              <w:rPr>
                <w:sz w:val="19"/>
                <w:szCs w:val="19"/>
              </w:rPr>
              <w:t xml:space="preserve">8</w:t>
            </w:r>
          </w:p>
        </w:tc>
        <w:tc>
          <w:tcPr>
            <w:tcW w:type="dxa" w:w="5560"/>
            <w:shd w:fill="F4F7F3" w:val="clear"/>
            <w:tcMar>
              <w:top w:type="dxa" w:w="60"/>
              <w:left w:type="dxa" w:w="110"/>
              <w:bottom w:type="dxa" w:w="60"/>
              <w:right w:type="dxa" w:w="110"/>
            </w:tcMar>
          </w:tcPr>
          <w:p>
            <w:r>
              <w:rPr>
                <w:sz w:val="19"/>
                <w:szCs w:val="19"/>
              </w:rPr>
              <w:t xml:space="preserve">Map error messages to safe strings; add AI retry</w:t>
            </w:r>
          </w:p>
        </w:tc>
        <w:tc>
          <w:tcPr>
            <w:tcW w:type="dxa" w:w="1500"/>
            <w:shd w:fill="F4F7F3" w:val="clear"/>
            <w:tcMar>
              <w:top w:type="dxa" w:w="60"/>
              <w:left w:type="dxa" w:w="110"/>
              <w:bottom w:type="dxa" w:w="60"/>
              <w:right w:type="dxa" w:w="110"/>
            </w:tcMar>
          </w:tcPr>
          <w:p>
            <w:r>
              <w:rPr>
                <w:b/>
                <w:bCs/>
                <w:color w:val="B8791F"/>
                <w:sz w:val="19"/>
                <w:szCs w:val="19"/>
              </w:rPr>
              <w:t xml:space="preserve">High</w:t>
            </w:r>
          </w:p>
        </w:tc>
        <w:tc>
          <w:tcPr>
            <w:tcW w:type="dxa" w:w="1800"/>
            <w:shd w:fill="F4F7F3" w:val="clear"/>
            <w:tcMar>
              <w:top w:type="dxa" w:w="60"/>
              <w:left w:type="dxa" w:w="110"/>
              <w:bottom w:type="dxa" w:w="60"/>
              <w:right w:type="dxa" w:w="110"/>
            </w:tcMar>
          </w:tcPr>
          <w:p>
            <w:r>
              <w:rPr>
                <w:sz w:val="19"/>
                <w:szCs w:val="19"/>
              </w:rPr>
              <w:t xml:space="preserve">AI</w:t>
            </w:r>
          </w:p>
        </w:tc>
      </w:tr>
      <w:tr>
        <w:tc>
          <w:tcPr>
            <w:tcW w:type="dxa" w:w="500"/>
            <w:shd w:fill="FFFFFF" w:val="clear"/>
            <w:tcMar>
              <w:top w:type="dxa" w:w="60"/>
              <w:left w:type="dxa" w:w="110"/>
              <w:bottom w:type="dxa" w:w="60"/>
              <w:right w:type="dxa" w:w="110"/>
            </w:tcMar>
          </w:tcPr>
          <w:p>
            <w:r>
              <w:rPr>
                <w:sz w:val="19"/>
                <w:szCs w:val="19"/>
              </w:rPr>
              <w:t xml:space="preserve">9</w:t>
            </w:r>
          </w:p>
        </w:tc>
        <w:tc>
          <w:tcPr>
            <w:tcW w:type="dxa" w:w="5560"/>
            <w:shd w:fill="FFFFFF" w:val="clear"/>
            <w:tcMar>
              <w:top w:type="dxa" w:w="60"/>
              <w:left w:type="dxa" w:w="110"/>
              <w:bottom w:type="dxa" w:w="60"/>
              <w:right w:type="dxa" w:w="110"/>
            </w:tcMar>
          </w:tcPr>
          <w:p>
            <w:r>
              <w:rPr>
                <w:sz w:val="19"/>
                <w:szCs w:val="19"/>
              </w:rPr>
              <w:t xml:space="preserve">Restrict the Google Maps API key in GCP</w:t>
            </w:r>
          </w:p>
        </w:tc>
        <w:tc>
          <w:tcPr>
            <w:tcW w:type="dxa" w:w="1500"/>
            <w:shd w:fill="FFFFFF" w:val="clear"/>
            <w:tcMar>
              <w:top w:type="dxa" w:w="60"/>
              <w:left w:type="dxa" w:w="110"/>
              <w:bottom w:type="dxa" w:w="60"/>
              <w:right w:type="dxa" w:w="110"/>
            </w:tcMar>
          </w:tcPr>
          <w:p>
            <w:r>
              <w:rPr>
                <w:b/>
                <w:bCs/>
                <w:color w:val="B8791F"/>
                <w:sz w:val="19"/>
                <w:szCs w:val="19"/>
              </w:rPr>
              <w:t xml:space="preserve">High</w:t>
            </w:r>
          </w:p>
        </w:tc>
        <w:tc>
          <w:tcPr>
            <w:tcW w:type="dxa" w:w="1800"/>
            <w:shd w:fill="FFFFFF" w:val="clear"/>
            <w:tcMar>
              <w:top w:type="dxa" w:w="60"/>
              <w:left w:type="dxa" w:w="110"/>
              <w:bottom w:type="dxa" w:w="60"/>
              <w:right w:type="dxa" w:w="110"/>
            </w:tcMar>
          </w:tcPr>
          <w:p>
            <w:r>
              <w:rPr>
                <w:sz w:val="19"/>
                <w:szCs w:val="19"/>
              </w:rPr>
              <w:t xml:space="preserve">Security</w:t>
            </w:r>
          </w:p>
        </w:tc>
      </w:tr>
      <w:tr>
        <w:tc>
          <w:tcPr>
            <w:tcW w:type="dxa" w:w="500"/>
            <w:shd w:fill="F4F7F3" w:val="clear"/>
            <w:tcMar>
              <w:top w:type="dxa" w:w="60"/>
              <w:left w:type="dxa" w:w="110"/>
              <w:bottom w:type="dxa" w:w="60"/>
              <w:right w:type="dxa" w:w="110"/>
            </w:tcMar>
          </w:tcPr>
          <w:p>
            <w:r>
              <w:rPr>
                <w:sz w:val="19"/>
                <w:szCs w:val="19"/>
              </w:rPr>
              <w:t xml:space="preserve">10</w:t>
            </w:r>
          </w:p>
        </w:tc>
        <w:tc>
          <w:tcPr>
            <w:tcW w:type="dxa" w:w="5560"/>
            <w:shd w:fill="F4F7F3" w:val="clear"/>
            <w:tcMar>
              <w:top w:type="dxa" w:w="60"/>
              <w:left w:type="dxa" w:w="110"/>
              <w:bottom w:type="dxa" w:w="60"/>
              <w:right w:type="dxa" w:w="110"/>
            </w:tcMar>
          </w:tcPr>
          <w:p>
            <w:r>
              <w:rPr>
                <w:sz w:val="19"/>
                <w:szCs w:val="19"/>
              </w:rPr>
              <w:t xml:space="preserve">Apply Firestore TTL policy on rate-limit counters</w:t>
            </w:r>
          </w:p>
        </w:tc>
        <w:tc>
          <w:tcPr>
            <w:tcW w:type="dxa" w:w="1500"/>
            <w:shd w:fill="F4F7F3" w:val="clear"/>
            <w:tcMar>
              <w:top w:type="dxa" w:w="60"/>
              <w:left w:type="dxa" w:w="110"/>
              <w:bottom w:type="dxa" w:w="60"/>
              <w:right w:type="dxa" w:w="110"/>
            </w:tcMar>
          </w:tcPr>
          <w:p>
            <w:r>
              <w:rPr>
                <w:b/>
                <w:bCs/>
                <w:color w:val="548323"/>
                <w:sz w:val="19"/>
                <w:szCs w:val="19"/>
              </w:rPr>
              <w:t xml:space="preserve">Medium</w:t>
            </w:r>
          </w:p>
        </w:tc>
        <w:tc>
          <w:tcPr>
            <w:tcW w:type="dxa" w:w="1800"/>
            <w:shd w:fill="F4F7F3" w:val="clear"/>
            <w:tcMar>
              <w:top w:type="dxa" w:w="60"/>
              <w:left w:type="dxa" w:w="110"/>
              <w:bottom w:type="dxa" w:w="60"/>
              <w:right w:type="dxa" w:w="110"/>
            </w:tcMar>
          </w:tcPr>
          <w:p>
            <w:r>
              <w:rPr>
                <w:sz w:val="19"/>
                <w:szCs w:val="19"/>
              </w:rPr>
              <w:t xml:space="preserve">Ops</w:t>
            </w:r>
          </w:p>
        </w:tc>
      </w:tr>
      <w:tr>
        <w:tc>
          <w:tcPr>
            <w:tcW w:type="dxa" w:w="500"/>
            <w:shd w:fill="FFFFFF" w:val="clear"/>
            <w:tcMar>
              <w:top w:type="dxa" w:w="60"/>
              <w:left w:type="dxa" w:w="110"/>
              <w:bottom w:type="dxa" w:w="60"/>
              <w:right w:type="dxa" w:w="110"/>
            </w:tcMar>
          </w:tcPr>
          <w:p>
            <w:r>
              <w:rPr>
                <w:sz w:val="19"/>
                <w:szCs w:val="19"/>
              </w:rPr>
              <w:t xml:space="preserve">11</w:t>
            </w:r>
          </w:p>
        </w:tc>
        <w:tc>
          <w:tcPr>
            <w:tcW w:type="dxa" w:w="5560"/>
            <w:shd w:fill="FFFFFF" w:val="clear"/>
            <w:tcMar>
              <w:top w:type="dxa" w:w="60"/>
              <w:left w:type="dxa" w:w="110"/>
              <w:bottom w:type="dxa" w:w="60"/>
              <w:right w:type="dxa" w:w="110"/>
            </w:tcMar>
          </w:tcPr>
          <w:p>
            <w:r>
              <w:rPr>
                <w:sz w:val="19"/>
                <w:szCs w:val="19"/>
              </w:rPr>
              <w:t xml:space="preserve">Add onboarding + settings surfaces</w:t>
            </w:r>
          </w:p>
        </w:tc>
        <w:tc>
          <w:tcPr>
            <w:tcW w:type="dxa" w:w="1500"/>
            <w:shd w:fill="FFFFFF" w:val="clear"/>
            <w:tcMar>
              <w:top w:type="dxa" w:w="60"/>
              <w:left w:type="dxa" w:w="110"/>
              <w:bottom w:type="dxa" w:w="60"/>
              <w:right w:type="dxa" w:w="110"/>
            </w:tcMar>
          </w:tcPr>
          <w:p>
            <w:r>
              <w:rPr>
                <w:b/>
                <w:bCs/>
                <w:color w:val="548323"/>
                <w:sz w:val="19"/>
                <w:szCs w:val="19"/>
              </w:rPr>
              <w:t xml:space="preserve">Medium</w:t>
            </w:r>
          </w:p>
        </w:tc>
        <w:tc>
          <w:tcPr>
            <w:tcW w:type="dxa" w:w="1800"/>
            <w:shd w:fill="FFFFFF" w:val="clear"/>
            <w:tcMar>
              <w:top w:type="dxa" w:w="60"/>
              <w:left w:type="dxa" w:w="110"/>
              <w:bottom w:type="dxa" w:w="60"/>
              <w:right w:type="dxa" w:w="110"/>
            </w:tcMar>
          </w:tcPr>
          <w:p>
            <w:r>
              <w:rPr>
                <w:sz w:val="19"/>
                <w:szCs w:val="19"/>
              </w:rPr>
              <w:t xml:space="preserve">UX</w:t>
            </w:r>
          </w:p>
        </w:tc>
      </w:tr>
      <w:tr>
        <w:tc>
          <w:tcPr>
            <w:tcW w:type="dxa" w:w="500"/>
            <w:shd w:fill="F4F7F3" w:val="clear"/>
            <w:tcMar>
              <w:top w:type="dxa" w:w="60"/>
              <w:left w:type="dxa" w:w="110"/>
              <w:bottom w:type="dxa" w:w="60"/>
              <w:right w:type="dxa" w:w="110"/>
            </w:tcMar>
          </w:tcPr>
          <w:p>
            <w:r>
              <w:rPr>
                <w:sz w:val="19"/>
                <w:szCs w:val="19"/>
              </w:rPr>
              <w:t xml:space="preserve">12</w:t>
            </w:r>
          </w:p>
        </w:tc>
        <w:tc>
          <w:tcPr>
            <w:tcW w:type="dxa" w:w="5560"/>
            <w:shd w:fill="F4F7F3" w:val="clear"/>
            <w:tcMar>
              <w:top w:type="dxa" w:w="60"/>
              <w:left w:type="dxa" w:w="110"/>
              <w:bottom w:type="dxa" w:w="60"/>
              <w:right w:type="dxa" w:w="110"/>
            </w:tcMar>
          </w:tcPr>
          <w:p>
            <w:r>
              <w:rPr>
                <w:sz w:val="19"/>
                <w:szCs w:val="19"/>
              </w:rPr>
              <w:t xml:space="preserve">Seed a 2nd region to prove the playbook</w:t>
            </w:r>
          </w:p>
        </w:tc>
        <w:tc>
          <w:tcPr>
            <w:tcW w:type="dxa" w:w="1500"/>
            <w:shd w:fill="F4F7F3" w:val="clear"/>
            <w:tcMar>
              <w:top w:type="dxa" w:w="60"/>
              <w:left w:type="dxa" w:w="110"/>
              <w:bottom w:type="dxa" w:w="60"/>
              <w:right w:type="dxa" w:w="110"/>
            </w:tcMar>
          </w:tcPr>
          <w:p>
            <w:r>
              <w:rPr>
                <w:b/>
                <w:bCs/>
                <w:color w:val="548323"/>
                <w:sz w:val="19"/>
                <w:szCs w:val="19"/>
              </w:rPr>
              <w:t xml:space="preserve">Medium</w:t>
            </w:r>
          </w:p>
        </w:tc>
        <w:tc>
          <w:tcPr>
            <w:tcW w:type="dxa" w:w="1800"/>
            <w:shd w:fill="F4F7F3" w:val="clear"/>
            <w:tcMar>
              <w:top w:type="dxa" w:w="60"/>
              <w:left w:type="dxa" w:w="110"/>
              <w:bottom w:type="dxa" w:w="60"/>
              <w:right w:type="dxa" w:w="110"/>
            </w:tcMar>
          </w:tcPr>
          <w:p>
            <w:r>
              <w:rPr>
                <w:sz w:val="19"/>
                <w:szCs w:val="19"/>
              </w:rPr>
              <w:t xml:space="preserve">Scale</w:t>
            </w:r>
          </w:p>
        </w:tc>
      </w:tr>
    </w:tbl>
    <w:p>
      <w:r>
        <w:br w:type="page"/>
      </w:r>
    </w:p>
    <w:p>
      <w:pPr>
        <w:spacing w:after="120"/>
      </w:pPr>
      <w:r>
        <w:rPr>
          <w:b/>
          <w:bCs/>
          <w:color w:val="548323"/>
          <w:sz w:val="22"/>
          <w:szCs w:val="22"/>
        </w:rPr>
        <w:t xml:space="preserve">PART B</w:t>
      </w:r>
    </w:p>
    <w:p>
      <w:pPr>
        <w:pStyle w:val="Heading1"/>
      </w:pPr>
      <w:r>
        <w:t xml:space="preserve">3. Business plan — funding the AI and scaling</w:t>
      </w:r>
    </w:p>
    <w:p>
      <w:pPr>
        <w:spacing w:after="140" w:line="276"/>
      </w:pPr>
      <w:r>
        <w:t xml:space="preserve">This plan is written for you as the founder: pragmatic, numbers-first, and focused on the question you asked — how the business offsets the cost of the AI concierge and how that scales as regions are added. The figures are planning estimates with stated assumptions, not forecasts.</w:t>
      </w:r>
    </w:p>
    <w:p>
      <w:pPr>
        <w:pStyle w:val="Heading2"/>
      </w:pPr>
      <w:r>
        <w:t xml:space="preserve">3.1 The core insight</w:t>
      </w:r>
    </w:p>
    <w:p>
      <w:pPr>
        <w:spacing w:after="140" w:line="276"/>
      </w:pPr>
      <w:r>
        <w:rPr>
          <w:b/>
          <w:bCs/>
        </w:rPr>
        <w:t xml:space="preserve">The AI concierge is cheap and capped, and it is not the financial constraint on this business. </w:t>
      </w:r>
      <w:r>
        <w:t xml:space="preserve">Because the response model defaults to Gemini Flash with prompt caching, and because there is a hard per-session daily turn limit, the realistic cost of the AI is fractions of a cent per interaction and bounded per user. The constraint on the business is distribution and partner sales, not inference cost. The concierge's real job is to be the hook that makes the app worth opening and the trip worth planning here — engagement that you then monetise through winery partners, booking commissions, and an optional consumer pass.</w:t>
      </w:r>
    </w:p>
    <w:p>
      <w:pPr>
        <w:pStyle w:val="Heading2"/>
      </w:pPr>
      <w:r>
        <w:t xml:space="preserve">3.2 What the AI actually costs</w:t>
      </w:r>
    </w:p>
    <w:p>
      <w:pPr>
        <w:spacing w:after="140" w:line="276"/>
      </w:pPr>
      <w:r>
        <w:t xml:space="preserve">Each concierge turn runs a small pipeline: a cheap coreference resolver (only on follow-ups), a router classification call, a retrieval step (Voyage embeddings + Upstash vector search), and the streamed response. The cost tracker in the codebase prices each leg. With the current default configuration — router/resolver on the small OpenAI model, response on Gemini Flash, all with caching — a turn breaks down approximately as follows.</w:t>
      </w:r>
    </w:p>
    <w:tbl>
      <w:tblPr>
        <w:tblW w:type="dxa" w:w="9360"/>
        <w:tblBorders>
          <w:top w:val="single" w:color="CFD8CF" w:sz="1"/>
          <w:left w:val="single" w:color="CFD8CF" w:sz="1"/>
          <w:bottom w:val="single" w:color="CFD8CF" w:sz="1"/>
          <w:right w:val="single" w:color="CFD8CF" w:sz="1"/>
          <w:insideH w:val="single" w:color="CFD8CF" w:sz="1"/>
          <w:insideV w:val="single" w:color="CFD8CF" w:sz="1"/>
        </w:tblBorders>
      </w:tblPr>
      <w:tblGrid>
        <w:gridCol w:w="4360"/>
        <w:gridCol w:w="3000"/>
        <w:gridCol w:w="2000"/>
      </w:tblGrid>
      <w:tr>
        <w:trPr>
          <w:tblHeader/>
        </w:trPr>
        <w:tc>
          <w:tcPr>
            <w:tcW w:type="dxa" w:w="4360"/>
            <w:shd w:fill="548323" w:val="clear"/>
            <w:tcMar>
              <w:top w:type="dxa" w:w="60"/>
              <w:left w:type="dxa" w:w="110"/>
              <w:bottom w:type="dxa" w:w="60"/>
              <w:right w:type="dxa" w:w="110"/>
            </w:tcMar>
          </w:tcPr>
          <w:p>
            <w:r>
              <w:rPr>
                <w:b/>
                <w:bCs/>
                <w:color w:val="FFFFFF"/>
                <w:sz w:val="19"/>
                <w:szCs w:val="19"/>
              </w:rPr>
              <w:t xml:space="preserve">Pipeline leg</w:t>
            </w:r>
          </w:p>
        </w:tc>
        <w:tc>
          <w:tcPr>
            <w:tcW w:type="dxa" w:w="3000"/>
            <w:shd w:fill="548323" w:val="clear"/>
            <w:tcMar>
              <w:top w:type="dxa" w:w="60"/>
              <w:left w:type="dxa" w:w="110"/>
              <w:bottom w:type="dxa" w:w="60"/>
              <w:right w:type="dxa" w:w="110"/>
            </w:tcMar>
          </w:tcPr>
          <w:p>
            <w:r>
              <w:rPr>
                <w:b/>
                <w:bCs/>
                <w:color w:val="FFFFFF"/>
                <w:sz w:val="19"/>
                <w:szCs w:val="19"/>
              </w:rPr>
              <w:t xml:space="preserve">Model / service</w:t>
            </w:r>
          </w:p>
        </w:tc>
        <w:tc>
          <w:tcPr>
            <w:tcW w:type="dxa" w:w="2000"/>
            <w:shd w:fill="548323" w:val="clear"/>
            <w:tcMar>
              <w:top w:type="dxa" w:w="60"/>
              <w:left w:type="dxa" w:w="110"/>
              <w:bottom w:type="dxa" w:w="60"/>
              <w:right w:type="dxa" w:w="110"/>
            </w:tcMar>
          </w:tcPr>
          <w:p>
            <w:r>
              <w:rPr>
                <w:b/>
                <w:bCs/>
                <w:color w:val="FFFFFF"/>
                <w:sz w:val="19"/>
                <w:szCs w:val="19"/>
              </w:rPr>
              <w:t xml:space="preserve">Approx. cost / turn</w:t>
            </w:r>
          </w:p>
        </w:tc>
      </w:tr>
      <w:tr>
        <w:tc>
          <w:tcPr>
            <w:tcW w:type="dxa" w:w="4360"/>
            <w:shd w:fill="FFFFFF" w:val="clear"/>
            <w:tcMar>
              <w:top w:type="dxa" w:w="60"/>
              <w:left w:type="dxa" w:w="110"/>
              <w:bottom w:type="dxa" w:w="60"/>
              <w:right w:type="dxa" w:w="110"/>
            </w:tcMar>
          </w:tcPr>
          <w:p>
            <w:r>
              <w:rPr>
                <w:sz w:val="19"/>
                <w:szCs w:val="19"/>
              </w:rPr>
              <w:t xml:space="preserve">Coreference resolver (follow-ups only)</w:t>
            </w:r>
          </w:p>
        </w:tc>
        <w:tc>
          <w:tcPr>
            <w:tcW w:type="dxa" w:w="3000"/>
            <w:shd w:fill="FFFFFF" w:val="clear"/>
            <w:tcMar>
              <w:top w:type="dxa" w:w="60"/>
              <w:left w:type="dxa" w:w="110"/>
              <w:bottom w:type="dxa" w:w="60"/>
              <w:right w:type="dxa" w:w="110"/>
            </w:tcMar>
          </w:tcPr>
          <w:p>
            <w:r>
              <w:rPr>
                <w:sz w:val="19"/>
                <w:szCs w:val="19"/>
              </w:rPr>
              <w:t xml:space="preserve">small OpenAI model</w:t>
            </w:r>
          </w:p>
        </w:tc>
        <w:tc>
          <w:tcPr>
            <w:tcW w:type="dxa" w:w="2000"/>
            <w:shd w:fill="FFFFFF" w:val="clear"/>
            <w:tcMar>
              <w:top w:type="dxa" w:w="60"/>
              <w:left w:type="dxa" w:w="110"/>
              <w:bottom w:type="dxa" w:w="60"/>
              <w:right w:type="dxa" w:w="110"/>
            </w:tcMar>
          </w:tcPr>
          <w:p>
            <w:r>
              <w:rPr>
                <w:sz w:val="19"/>
                <w:szCs w:val="19"/>
              </w:rPr>
              <w:t xml:space="preserve">~$0.0002</w:t>
            </w:r>
          </w:p>
        </w:tc>
      </w:tr>
      <w:tr>
        <w:tc>
          <w:tcPr>
            <w:tcW w:type="dxa" w:w="4360"/>
            <w:shd w:fill="F4F7F3" w:val="clear"/>
            <w:tcMar>
              <w:top w:type="dxa" w:w="60"/>
              <w:left w:type="dxa" w:w="110"/>
              <w:bottom w:type="dxa" w:w="60"/>
              <w:right w:type="dxa" w:w="110"/>
            </w:tcMar>
          </w:tcPr>
          <w:p>
            <w:r>
              <w:rPr>
                <w:sz w:val="19"/>
                <w:szCs w:val="19"/>
              </w:rPr>
              <w:t xml:space="preserve">Router classification</w:t>
            </w:r>
          </w:p>
        </w:tc>
        <w:tc>
          <w:tcPr>
            <w:tcW w:type="dxa" w:w="3000"/>
            <w:shd w:fill="F4F7F3" w:val="clear"/>
            <w:tcMar>
              <w:top w:type="dxa" w:w="60"/>
              <w:left w:type="dxa" w:w="110"/>
              <w:bottom w:type="dxa" w:w="60"/>
              <w:right w:type="dxa" w:w="110"/>
            </w:tcMar>
          </w:tcPr>
          <w:p>
            <w:r>
              <w:rPr>
                <w:sz w:val="19"/>
                <w:szCs w:val="19"/>
              </w:rPr>
              <w:t xml:space="preserve">small OpenAI model (cached)</w:t>
            </w:r>
          </w:p>
        </w:tc>
        <w:tc>
          <w:tcPr>
            <w:tcW w:type="dxa" w:w="2000"/>
            <w:shd w:fill="F4F7F3" w:val="clear"/>
            <w:tcMar>
              <w:top w:type="dxa" w:w="60"/>
              <w:left w:type="dxa" w:w="110"/>
              <w:bottom w:type="dxa" w:w="60"/>
              <w:right w:type="dxa" w:w="110"/>
            </w:tcMar>
          </w:tcPr>
          <w:p>
            <w:r>
              <w:rPr>
                <w:sz w:val="19"/>
                <w:szCs w:val="19"/>
              </w:rPr>
              <w:t xml:space="preserve">~$0.0009</w:t>
            </w:r>
          </w:p>
        </w:tc>
      </w:tr>
      <w:tr>
        <w:tc>
          <w:tcPr>
            <w:tcW w:type="dxa" w:w="4360"/>
            <w:shd w:fill="FFFFFF" w:val="clear"/>
            <w:tcMar>
              <w:top w:type="dxa" w:w="60"/>
              <w:left w:type="dxa" w:w="110"/>
              <w:bottom w:type="dxa" w:w="60"/>
              <w:right w:type="dxa" w:w="110"/>
            </w:tcMar>
          </w:tcPr>
          <w:p>
            <w:r>
              <w:rPr>
                <w:sz w:val="19"/>
                <w:szCs w:val="19"/>
              </w:rPr>
              <w:t xml:space="preserve">Retrieval (3 embeds + vector search)</w:t>
            </w:r>
          </w:p>
        </w:tc>
        <w:tc>
          <w:tcPr>
            <w:tcW w:type="dxa" w:w="3000"/>
            <w:shd w:fill="FFFFFF" w:val="clear"/>
            <w:tcMar>
              <w:top w:type="dxa" w:w="60"/>
              <w:left w:type="dxa" w:w="110"/>
              <w:bottom w:type="dxa" w:w="60"/>
              <w:right w:type="dxa" w:w="110"/>
            </w:tcMar>
          </w:tcPr>
          <w:p>
            <w:r>
              <w:rPr>
                <w:sz w:val="19"/>
                <w:szCs w:val="19"/>
              </w:rPr>
              <w:t xml:space="preserve">Voyage + Upstash</w:t>
            </w:r>
          </w:p>
        </w:tc>
        <w:tc>
          <w:tcPr>
            <w:tcW w:type="dxa" w:w="2000"/>
            <w:shd w:fill="FFFFFF" w:val="clear"/>
            <w:tcMar>
              <w:top w:type="dxa" w:w="60"/>
              <w:left w:type="dxa" w:w="110"/>
              <w:bottom w:type="dxa" w:w="60"/>
              <w:right w:type="dxa" w:w="110"/>
            </w:tcMar>
          </w:tcPr>
          <w:p>
            <w:r>
              <w:rPr>
                <w:sz w:val="19"/>
                <w:szCs w:val="19"/>
              </w:rPr>
              <w:t xml:space="preserve">~$0.0001</w:t>
            </w:r>
          </w:p>
        </w:tc>
      </w:tr>
      <w:tr>
        <w:tc>
          <w:tcPr>
            <w:tcW w:type="dxa" w:w="4360"/>
            <w:shd w:fill="F4F7F3" w:val="clear"/>
            <w:tcMar>
              <w:top w:type="dxa" w:w="60"/>
              <w:left w:type="dxa" w:w="110"/>
              <w:bottom w:type="dxa" w:w="60"/>
              <w:right w:type="dxa" w:w="110"/>
            </w:tcMar>
          </w:tcPr>
          <w:p>
            <w:r>
              <w:rPr>
                <w:sz w:val="19"/>
                <w:szCs w:val="19"/>
              </w:rPr>
              <w:t xml:space="preserve">Streamed response</w:t>
            </w:r>
          </w:p>
        </w:tc>
        <w:tc>
          <w:tcPr>
            <w:tcW w:type="dxa" w:w="3000"/>
            <w:shd w:fill="F4F7F3" w:val="clear"/>
            <w:tcMar>
              <w:top w:type="dxa" w:w="60"/>
              <w:left w:type="dxa" w:w="110"/>
              <w:bottom w:type="dxa" w:w="60"/>
              <w:right w:type="dxa" w:w="110"/>
            </w:tcMar>
          </w:tcPr>
          <w:p>
            <w:r>
              <w:rPr>
                <w:sz w:val="19"/>
                <w:szCs w:val="19"/>
              </w:rPr>
              <w:t xml:space="preserve">Gemini Flash</w:t>
            </w:r>
          </w:p>
        </w:tc>
        <w:tc>
          <w:tcPr>
            <w:tcW w:type="dxa" w:w="2000"/>
            <w:shd w:fill="F4F7F3" w:val="clear"/>
            <w:tcMar>
              <w:top w:type="dxa" w:w="60"/>
              <w:left w:type="dxa" w:w="110"/>
              <w:bottom w:type="dxa" w:w="60"/>
              <w:right w:type="dxa" w:w="110"/>
            </w:tcMar>
          </w:tcPr>
          <w:p>
            <w:r>
              <w:rPr>
                <w:sz w:val="19"/>
                <w:szCs w:val="19"/>
              </w:rPr>
              <w:t xml:space="preserve">~$0.0006</w:t>
            </w:r>
          </w:p>
        </w:tc>
      </w:tr>
      <w:tr>
        <w:tc>
          <w:tcPr>
            <w:tcW w:type="dxa" w:w="4360"/>
            <w:shd w:fill="FFFFFF" w:val="clear"/>
            <w:tcMar>
              <w:top w:type="dxa" w:w="60"/>
              <w:left w:type="dxa" w:w="110"/>
              <w:bottom w:type="dxa" w:w="60"/>
              <w:right w:type="dxa" w:w="110"/>
            </w:tcMar>
          </w:tcPr>
          <w:p>
            <w:r>
              <w:rPr>
                <w:sz w:val="19"/>
                <w:szCs w:val="19"/>
              </w:rPr>
              <w:t xml:space="preserve">Function compute + Firestore quota</w:t>
            </w:r>
          </w:p>
        </w:tc>
        <w:tc>
          <w:tcPr>
            <w:tcW w:type="dxa" w:w="3000"/>
            <w:shd w:fill="FFFFFF" w:val="clear"/>
            <w:tcMar>
              <w:top w:type="dxa" w:w="60"/>
              <w:left w:type="dxa" w:w="110"/>
              <w:bottom w:type="dxa" w:w="60"/>
              <w:right w:type="dxa" w:w="110"/>
            </w:tcMar>
          </w:tcPr>
          <w:p>
            <w:r>
              <w:rPr>
                <w:sz w:val="19"/>
                <w:szCs w:val="19"/>
              </w:rPr>
              <w:t xml:space="preserve">Cloud Run + Firestore</w:t>
            </w:r>
          </w:p>
        </w:tc>
        <w:tc>
          <w:tcPr>
            <w:tcW w:type="dxa" w:w="2000"/>
            <w:shd w:fill="FFFFFF" w:val="clear"/>
            <w:tcMar>
              <w:top w:type="dxa" w:w="60"/>
              <w:left w:type="dxa" w:w="110"/>
              <w:bottom w:type="dxa" w:w="60"/>
              <w:right w:type="dxa" w:w="110"/>
            </w:tcMar>
          </w:tcPr>
          <w:p>
            <w:r>
              <w:rPr>
                <w:sz w:val="19"/>
                <w:szCs w:val="19"/>
              </w:rPr>
              <w:t xml:space="preserve">~$0.0001</w:t>
            </w:r>
          </w:p>
        </w:tc>
      </w:tr>
      <w:tr>
        <w:tc>
          <w:tcPr>
            <w:tcW w:type="dxa" w:w="4360"/>
            <w:shd w:fill="F4F7F3" w:val="clear"/>
            <w:tcMar>
              <w:top w:type="dxa" w:w="60"/>
              <w:left w:type="dxa" w:w="110"/>
              <w:bottom w:type="dxa" w:w="60"/>
              <w:right w:type="dxa" w:w="110"/>
            </w:tcMar>
          </w:tcPr>
          <w:p>
            <w:r>
              <w:rPr>
                <w:b/>
                <w:bCs/>
                <w:sz w:val="19"/>
                <w:szCs w:val="19"/>
              </w:rPr>
              <w:t xml:space="preserve">Typical turn (blended)</w:t>
            </w:r>
          </w:p>
        </w:tc>
        <w:tc>
          <w:tcPr>
            <w:tcW w:type="dxa" w:w="3000"/>
            <w:shd w:fill="F4F7F3" w:val="clear"/>
            <w:tcMar>
              <w:top w:type="dxa" w:w="60"/>
              <w:left w:type="dxa" w:w="110"/>
              <w:bottom w:type="dxa" w:w="60"/>
              <w:right w:type="dxa" w:w="110"/>
            </w:tcMar>
          </w:tcPr>
          <w:p>
            <w:r>
              <w:rPr>
                <w:b/>
                <w:bCs/>
                <w:sz w:val="19"/>
                <w:szCs w:val="19"/>
              </w:rPr>
              <w:t xml:space="preserve">—</w:t>
            </w:r>
          </w:p>
        </w:tc>
        <w:tc>
          <w:tcPr>
            <w:tcW w:type="dxa" w:w="2000"/>
            <w:shd w:fill="F4F7F3" w:val="clear"/>
            <w:tcMar>
              <w:top w:type="dxa" w:w="60"/>
              <w:left w:type="dxa" w:w="110"/>
              <w:bottom w:type="dxa" w:w="60"/>
              <w:right w:type="dxa" w:w="110"/>
            </w:tcMar>
          </w:tcPr>
          <w:p>
            <w:r>
              <w:rPr>
                <w:b/>
                <w:bCs/>
                <w:color w:val="548323"/>
                <w:sz w:val="19"/>
                <w:szCs w:val="19"/>
              </w:rPr>
              <w:t xml:space="preserve">~$0.002–$0.004</w:t>
            </w:r>
          </w:p>
        </w:tc>
      </w:tr>
      <w:tr>
        <w:tc>
          <w:tcPr>
            <w:tcW w:type="dxa" w:w="4360"/>
            <w:shd w:fill="FFFFFF" w:val="clear"/>
            <w:tcMar>
              <w:top w:type="dxa" w:w="60"/>
              <w:left w:type="dxa" w:w="110"/>
              <w:bottom w:type="dxa" w:w="60"/>
              <w:right w:type="dxa" w:w="110"/>
            </w:tcMar>
          </w:tcPr>
          <w:p>
            <w:r>
              <w:rPr>
                <w:sz w:val="19"/>
                <w:szCs w:val="19"/>
              </w:rPr>
              <w:t xml:space="preserve">Itinerary turn (adds Google Directions)</w:t>
            </w:r>
          </w:p>
        </w:tc>
        <w:tc>
          <w:tcPr>
            <w:tcW w:type="dxa" w:w="3000"/>
            <w:shd w:fill="FFFFFF" w:val="clear"/>
            <w:tcMar>
              <w:top w:type="dxa" w:w="60"/>
              <w:left w:type="dxa" w:w="110"/>
              <w:bottom w:type="dxa" w:w="60"/>
              <w:right w:type="dxa" w:w="110"/>
            </w:tcMar>
          </w:tcPr>
          <w:p>
            <w:r>
              <w:rPr>
                <w:sz w:val="19"/>
                <w:szCs w:val="19"/>
              </w:rPr>
              <w:t xml:space="preserve">+ Distance Matrix</w:t>
            </w:r>
          </w:p>
        </w:tc>
        <w:tc>
          <w:tcPr>
            <w:tcW w:type="dxa" w:w="2000"/>
            <w:shd w:fill="FFFFFF" w:val="clear"/>
            <w:tcMar>
              <w:top w:type="dxa" w:w="60"/>
              <w:left w:type="dxa" w:w="110"/>
              <w:bottom w:type="dxa" w:w="60"/>
              <w:right w:type="dxa" w:w="110"/>
            </w:tcMar>
          </w:tcPr>
          <w:p>
            <w:r>
              <w:rPr>
                <w:sz w:val="19"/>
                <w:szCs w:val="19"/>
              </w:rPr>
              <w:t xml:space="preserve">+~$0.005</w:t>
            </w:r>
          </w:p>
        </w:tc>
      </w:tr>
    </w:tbl>
    <w:p>
      <w:pPr>
        <w:spacing w:after="140" w:line="276"/>
      </w:pPr>
      <w:r>
        <w:rPr>
          <w:b/>
          <w:bCs/>
        </w:rPr>
        <w:t xml:space="preserve">Planning figure: </w:t>
      </w:r>
      <w:r>
        <w:t xml:space="preserve">budget at a conservative </w:t>
      </w:r>
      <w:r>
        <w:rPr>
          <w:b/>
          <w:bCs/>
        </w:rPr>
        <w:t xml:space="preserve">$0.01 per turn</w:t>
      </w:r>
      <w:r>
        <w:t xml:space="preserve"> to leave generous margin for itinerary calls, longer sessions, and model-price drift. The absolute worst case is bounded by the 100-turn-per-session-per-day cap — about </w:t>
      </w:r>
      <w:r>
        <w:rPr>
          <w:b/>
          <w:bCs/>
        </w:rPr>
        <w:t xml:space="preserve">$1.00</w:t>
      </w:r>
      <w:r>
        <w:t xml:space="preserve"> per session per day even if a single user maxed it out, which real users never approach.</w:t>
      </w:r>
    </w:p>
    <w:p>
      <w:pPr>
        <w:spacing w:after="140" w:line="276"/>
      </w:pPr>
      <w:r>
        <w:rPr>
          <w:b/>
          <w:bCs/>
        </w:rPr>
        <w:t xml:space="preserve">Per-user economics: </w:t>
      </w:r>
      <w:r>
        <w:t xml:space="preserve">a casual browser who never opens the chat costs essentially nothing. An engaged trip-planner doing, say, 8–12 turns per planning session across 2–3 sessions costs roughly </w:t>
      </w:r>
      <w:r>
        <w:rPr>
          <w:b/>
          <w:bCs/>
        </w:rPr>
        <w:t xml:space="preserve">$0.15–$0.35 in AI over their whole trip</w:t>
      </w:r>
      <w:r>
        <w:t xml:space="preserve">, plus a few cents of maps/Firestore/hosting. Call the fully-loaded variable cost of a deeply engaged tourist </w:t>
      </w:r>
      <w:r>
        <w:rPr>
          <w:b/>
          <w:bCs/>
        </w:rPr>
        <w:t xml:space="preserve">~$0.25–$0.50</w:t>
      </w:r>
      <w:r>
        <w:t xml:space="preserve">.</w:t>
      </w:r>
    </w:p>
    <w:p>
      <w:pPr>
        <w:spacing w:after="120"/>
      </w:pPr>
      <w:r>
        <w:rPr>
          <w:b/>
          <w:bCs/>
          <w:color w:val="B8791F"/>
        </w:rPr>
        <w:t xml:space="preserve">Caveat to verify: </w:t>
      </w:r>
      <w:r>
        <w:t xml:space="preserve">the pricing table uses forward-dated model identifiers (gpt-5.4 family, gemini-2.5-flash). Confirm on the OpenAI and Google billing dashboards that you are billed for the models you think you are, and re-check the per-unit rates — model pricing is the one input that can move these numbers materially.</w:t>
      </w:r>
    </w:p>
    <w:p>
      <w:pPr>
        <w:pStyle w:val="Heading2"/>
      </w:pPr>
      <w:r>
        <w:t xml:space="preserve">3.3 Revenue model — the offset</w:t>
      </w:r>
    </w:p>
    <w:p>
      <w:pPr>
        <w:spacing w:after="140" w:line="276"/>
      </w:pPr>
      <w:r>
        <w:t xml:space="preserve">Five streams, ordered by how well the existing product already supports them. The first two cross-subsidise free consumer AI; the third caps heavy users; the last two are the scaling engine.</w:t>
      </w:r>
    </w:p>
    <w:p>
      <w:pPr>
        <w:pStyle w:val="Heading3"/>
      </w:pPr>
      <w:r>
        <w:t xml:space="preserve">A. Winery partner listings (B2B) — primary, already supported in the schema</w:t>
      </w:r>
    </w:p>
    <w:p>
      <w:pPr>
        <w:spacing w:after="140" w:line="276"/>
      </w:pPr>
      <w:r>
        <w:t xml:space="preserve">The data model already carries </w:t>
      </w:r>
      <w:r>
        <w:rPr>
          <w:rFonts w:ascii="Consolas" w:cs="Consolas" w:eastAsia="Consolas" w:hAnsi="Consolas"/>
          <w:sz w:val="18"/>
          <w:szCs w:val="18"/>
        </w:rPr>
        <w:t xml:space="preserve">featured</w:t>
      </w:r>
      <w:r>
        <w:t xml:space="preserve">, </w:t>
      </w:r>
      <w:r>
        <w:rPr>
          <w:rFonts w:ascii="Consolas" w:cs="Consolas" w:eastAsia="Consolas" w:hAnsi="Consolas"/>
          <w:sz w:val="18"/>
          <w:szCs w:val="18"/>
        </w:rPr>
        <w:t xml:space="preserve">featuredTier</w:t>
      </w:r>
      <w:r>
        <w:t xml:space="preserve">, </w:t>
      </w:r>
      <w:r>
        <w:rPr>
          <w:rFonts w:ascii="Consolas" w:cs="Consolas" w:eastAsia="Consolas" w:hAnsi="Consolas"/>
          <w:sz w:val="18"/>
          <w:szCs w:val="18"/>
        </w:rPr>
        <w:t xml:space="preserve">featuredLabel</w:t>
      </w:r>
      <w:r>
        <w:t xml:space="preserve">, and a concierge-ranking </w:t>
      </w:r>
      <w:r>
        <w:rPr>
          <w:rFonts w:ascii="Consolas" w:cs="Consolas" w:eastAsia="Consolas" w:hAnsi="Consolas"/>
          <w:sz w:val="18"/>
          <w:szCs w:val="18"/>
        </w:rPr>
        <w:t xml:space="preserve">boost</w:t>
      </w:r>
      <w:r>
        <w:t xml:space="preserve"> field, and the editorial collections support sponsor blocks and winery-sponsored events. That is a partner-listing business waiting to be switched on. Offer a free basic listing to every winery, then paid tiers for hero placement on home, a boost in concierge recommendations, a sponsored “Pour” feature, and event promotion.</w:t>
      </w:r>
    </w:p>
    <w:p>
      <w:pPr>
        <w:pStyle w:val="ListParagraph"/>
        <w:numPr>
          <w:ilvl w:val="0"/>
          <w:numId w:val="2"/>
        </w:numPr>
        <w:spacing w:after="70" w:line="270"/>
      </w:pPr>
      <w:r>
        <w:rPr>
          <w:b/>
          <w:bCs/>
        </w:rPr>
        <w:t xml:space="preserve">Indicative pricing: </w:t>
      </w:r>
      <w:r>
        <w:t xml:space="preserve">Featured $75–150/month or an annual equivalent; a premium “regional partner” tier higher. Tasmania has on the order of 150 wineries/cellar doors; converting even 15–25 to a $75 tier is ~$1,100–$1,900/month from one region.</w:t>
      </w:r>
    </w:p>
    <w:p>
      <w:pPr>
        <w:pStyle w:val="ListParagraph"/>
        <w:numPr>
          <w:ilvl w:val="0"/>
          <w:numId w:val="2"/>
        </w:numPr>
        <w:spacing w:after="70" w:line="270"/>
      </w:pPr>
      <w:r>
        <w:rPr>
          <w:b/>
          <w:bCs/>
        </w:rPr>
        <w:t xml:space="preserve">Why it works: </w:t>
      </w:r>
      <w:r>
        <w:t xml:space="preserve">one $75/month partner offsets ~7,500 conservative concierge turns. The B2B line funds the consumer AI many times over.</w:t>
      </w:r>
    </w:p>
    <w:p>
      <w:pPr>
        <w:pStyle w:val="Heading3"/>
      </w:pPr>
      <w:r>
        <w:t xml:space="preserve">B. Booking &amp; commerce commissions — highest upside</w:t>
      </w:r>
    </w:p>
    <w:p>
      <w:pPr>
        <w:spacing w:after="140" w:line="276"/>
      </w:pPr>
      <w:r>
        <w:t xml:space="preserve">The app already plans trips and routes people to cellar doors; the natural next step is to capture the booking. Take a commission on tastings, tours, and — since many Tasmanian wineries offer boutique accommodation — stays, plus wine-club sign-ups and wine shipping. A 5–15% commission on a trip's worth of bookings is materially larger per user than any subscription, and it aligns the app's incentive (great trips) with revenue.</w:t>
      </w:r>
    </w:p>
    <w:p>
      <w:pPr>
        <w:pStyle w:val="Heading3"/>
      </w:pPr>
      <w:r>
        <w:t xml:space="preserve">C. Consumer pass (SipLocal+) — caps heavy users, adds margin</w:t>
      </w:r>
    </w:p>
    <w:p>
      <w:pPr>
        <w:spacing w:after="140" w:line="276"/>
      </w:pPr>
      <w:r>
        <w:t xml:space="preserve">Keep the app free to browse with a generous-but-limited concierge (e.g. a daily message allowance, which the rate-limit infrastructure already enforces). Offer a paid upgrade for unlimited concierge, offline trip maps, multi-trip sync, and exclusive editorial. Because tourists use the app intensively but briefly, a one-time or seasonal “Trip Pass” (e.g. $4.99) will likely convert better than a recurring subscription. The pass exists less to be a profit centre and more to put a price on the long tail of heavy AI users so they fund their own inference.</w:t>
      </w:r>
    </w:p>
    <w:p>
      <w:pPr>
        <w:pStyle w:val="Heading3"/>
      </w:pPr>
      <w:r>
        <w:t xml:space="preserve">D. Tourism-board / DMO sponsorship</w:t>
      </w:r>
    </w:p>
    <w:p>
      <w:pPr>
        <w:spacing w:after="140" w:line="276"/>
      </w:pPr>
      <w:r>
        <w:t xml:space="preserve">Regional tourism organisations and wine associations have budgets to promote their region and an interest in visitor-flow data. Sell a sponsored regional guide and anonymised, aggregated visitation insights. This is recurring, high-trust revenue that also lends credibility for partner sales.</w:t>
      </w:r>
    </w:p>
    <w:p>
      <w:pPr>
        <w:pStyle w:val="Heading3"/>
      </w:pPr>
      <w:r>
        <w:t xml:space="preserve">E. Platform licensing / white-label — the scaling engine</w:t>
      </w:r>
    </w:p>
    <w:p>
      <w:pPr>
        <w:spacing w:after="140" w:line="276"/>
      </w:pPr>
      <w:r>
        <w:t xml:space="preserve">Because the architecture is multi-region by design, the whole stack can be licensed to other regions' wine bodies or to a parent travel brand as a white-label product. Each new region adds revenue while sharing the same functions, models, and prompt infrastructure — so marginal AI/infra cost per region stays low. This is where the company's value compounds.</w:t>
      </w:r>
    </w:p>
    <w:p>
      <w:pPr>
        <w:pStyle w:val="Heading2"/>
      </w:pPr>
      <w:r>
        <w:t xml:space="preserve">3.4 Why the unit economics work</w:t>
      </w:r>
    </w:p>
    <w:p>
      <w:pPr>
        <w:spacing w:after="140" w:line="276"/>
      </w:pPr>
      <w:r>
        <w:t xml:space="preserve">The structure is a classic cross-subsidy: B2B and commission revenue (paid by businesses who benefit from visitor flow) underwrite free consumer AI (which drives that visitor flow), with a consumer pass capping the heaviest users. Put concretely, in a single mature region:</w:t>
      </w:r>
    </w:p>
    <w:tbl>
      <w:tblPr>
        <w:tblW w:type="dxa" w:w="9360"/>
        <w:tblBorders>
          <w:top w:val="single" w:color="CFD8CF" w:sz="1"/>
          <w:left w:val="single" w:color="CFD8CF" w:sz="1"/>
          <w:bottom w:val="single" w:color="CFD8CF" w:sz="1"/>
          <w:right w:val="single" w:color="CFD8CF" w:sz="1"/>
          <w:insideH w:val="single" w:color="CFD8CF" w:sz="1"/>
          <w:insideV w:val="single" w:color="CFD8CF" w:sz="1"/>
        </w:tblBorders>
      </w:tblPr>
      <w:tblGrid>
        <w:gridCol w:w="4860"/>
        <w:gridCol w:w="3000"/>
        <w:gridCol w:w="1500"/>
      </w:tblGrid>
      <w:tr>
        <w:trPr>
          <w:tblHeader/>
        </w:trPr>
        <w:tc>
          <w:tcPr>
            <w:tcW w:type="dxa" w:w="4860"/>
            <w:shd w:fill="548323" w:val="clear"/>
            <w:tcMar>
              <w:top w:type="dxa" w:w="60"/>
              <w:left w:type="dxa" w:w="110"/>
              <w:bottom w:type="dxa" w:w="60"/>
              <w:right w:type="dxa" w:w="110"/>
            </w:tcMar>
          </w:tcPr>
          <w:p>
            <w:r>
              <w:rPr>
                <w:b/>
                <w:bCs/>
                <w:color w:val="FFFFFF"/>
                <w:sz w:val="19"/>
                <w:szCs w:val="19"/>
              </w:rPr>
              <w:t xml:space="preserve">Illustrative year-1, single region (Tasmania)</w:t>
            </w:r>
          </w:p>
        </w:tc>
        <w:tc>
          <w:tcPr>
            <w:tcW w:type="dxa" w:w="3000"/>
            <w:shd w:fill="548323" w:val="clear"/>
            <w:tcMar>
              <w:top w:type="dxa" w:w="60"/>
              <w:left w:type="dxa" w:w="110"/>
              <w:bottom w:type="dxa" w:w="60"/>
              <w:right w:type="dxa" w:w="110"/>
            </w:tcMar>
          </w:tcPr>
          <w:p>
            <w:r>
              <w:rPr>
                <w:b/>
                <w:bCs/>
                <w:color w:val="FFFFFF"/>
                <w:sz w:val="19"/>
                <w:szCs w:val="19"/>
              </w:rPr>
              <w:t xml:space="preserve">Assumption</w:t>
            </w:r>
          </w:p>
        </w:tc>
        <w:tc>
          <w:tcPr>
            <w:tcW w:type="dxa" w:w="1500"/>
            <w:shd w:fill="548323" w:val="clear"/>
            <w:tcMar>
              <w:top w:type="dxa" w:w="60"/>
              <w:left w:type="dxa" w:w="110"/>
              <w:bottom w:type="dxa" w:w="60"/>
              <w:right w:type="dxa" w:w="110"/>
            </w:tcMar>
          </w:tcPr>
          <w:p>
            <w:r>
              <w:rPr>
                <w:b/>
                <w:bCs/>
                <w:color w:val="FFFFFF"/>
                <w:sz w:val="19"/>
                <w:szCs w:val="19"/>
              </w:rPr>
              <w:t xml:space="preserve">Annual</w:t>
            </w:r>
          </w:p>
        </w:tc>
      </w:tr>
      <w:tr>
        <w:tc>
          <w:tcPr>
            <w:tcW w:type="dxa" w:w="4860"/>
            <w:shd w:fill="FFFFFF" w:val="clear"/>
            <w:tcMar>
              <w:top w:type="dxa" w:w="60"/>
              <w:left w:type="dxa" w:w="110"/>
              <w:bottom w:type="dxa" w:w="60"/>
              <w:right w:type="dxa" w:w="110"/>
            </w:tcMar>
          </w:tcPr>
          <w:p>
            <w:r>
              <w:rPr>
                <w:sz w:val="19"/>
                <w:szCs w:val="19"/>
              </w:rPr>
              <w:t xml:space="preserve">Downloads</w:t>
            </w:r>
          </w:p>
        </w:tc>
        <w:tc>
          <w:tcPr>
            <w:tcW w:type="dxa" w:w="3000"/>
            <w:shd w:fill="FFFFFF" w:val="clear"/>
            <w:tcMar>
              <w:top w:type="dxa" w:w="60"/>
              <w:left w:type="dxa" w:w="110"/>
              <w:bottom w:type="dxa" w:w="60"/>
              <w:right w:type="dxa" w:w="110"/>
            </w:tcMar>
          </w:tcPr>
          <w:p>
            <w:r>
              <w:rPr>
                <w:sz w:val="19"/>
                <w:szCs w:val="19"/>
              </w:rPr>
              <w:t xml:space="preserve">8,000</w:t>
            </w:r>
          </w:p>
        </w:tc>
        <w:tc>
          <w:tcPr>
            <w:tcW w:type="dxa" w:w="1500"/>
            <w:shd w:fill="FFFFFF" w:val="clear"/>
            <w:tcMar>
              <w:top w:type="dxa" w:w="60"/>
              <w:left w:type="dxa" w:w="110"/>
              <w:bottom w:type="dxa" w:w="60"/>
              <w:right w:type="dxa" w:w="110"/>
            </w:tcMar>
          </w:tcPr>
          <w:p>
            <w:r>
              <w:rPr>
                <w:sz w:val="19"/>
                <w:szCs w:val="19"/>
              </w:rPr>
              <w:t xml:space="preserve">—</w:t>
            </w:r>
          </w:p>
        </w:tc>
      </w:tr>
      <w:tr>
        <w:tc>
          <w:tcPr>
            <w:tcW w:type="dxa" w:w="4860"/>
            <w:shd w:fill="F4F7F3" w:val="clear"/>
            <w:tcMar>
              <w:top w:type="dxa" w:w="60"/>
              <w:left w:type="dxa" w:w="110"/>
              <w:bottom w:type="dxa" w:w="60"/>
              <w:right w:type="dxa" w:w="110"/>
            </w:tcMar>
          </w:tcPr>
          <w:p>
            <w:r>
              <w:rPr>
                <w:sz w:val="19"/>
                <w:szCs w:val="19"/>
              </w:rPr>
              <w:t xml:space="preserve">Engaged planners (25%)</w:t>
            </w:r>
          </w:p>
        </w:tc>
        <w:tc>
          <w:tcPr>
            <w:tcW w:type="dxa" w:w="3000"/>
            <w:shd w:fill="F4F7F3" w:val="clear"/>
            <w:tcMar>
              <w:top w:type="dxa" w:w="60"/>
              <w:left w:type="dxa" w:w="110"/>
              <w:bottom w:type="dxa" w:w="60"/>
              <w:right w:type="dxa" w:w="110"/>
            </w:tcMar>
          </w:tcPr>
          <w:p>
            <w:r>
              <w:rPr>
                <w:sz w:val="19"/>
                <w:szCs w:val="19"/>
              </w:rPr>
              <w:t xml:space="preserve">2,000 users</w:t>
            </w:r>
          </w:p>
        </w:tc>
        <w:tc>
          <w:tcPr>
            <w:tcW w:type="dxa" w:w="1500"/>
            <w:shd w:fill="F4F7F3" w:val="clear"/>
            <w:tcMar>
              <w:top w:type="dxa" w:w="60"/>
              <w:left w:type="dxa" w:w="110"/>
              <w:bottom w:type="dxa" w:w="60"/>
              <w:right w:type="dxa" w:w="110"/>
            </w:tcMar>
          </w:tcPr>
          <w:p>
            <w:r>
              <w:rPr>
                <w:sz w:val="19"/>
                <w:szCs w:val="19"/>
              </w:rPr>
              <w:t xml:space="preserve">—</w:t>
            </w:r>
          </w:p>
        </w:tc>
      </w:tr>
      <w:tr>
        <w:tc>
          <w:tcPr>
            <w:tcW w:type="dxa" w:w="4860"/>
            <w:shd w:fill="FFFFFF" w:val="clear"/>
            <w:tcMar>
              <w:top w:type="dxa" w:w="60"/>
              <w:left w:type="dxa" w:w="110"/>
              <w:bottom w:type="dxa" w:w="60"/>
              <w:right w:type="dxa" w:w="110"/>
            </w:tcMar>
          </w:tcPr>
          <w:p>
            <w:r>
              <w:rPr>
                <w:sz w:val="19"/>
                <w:szCs w:val="19"/>
              </w:rPr>
              <w:t xml:space="preserve">AI + infra cost</w:t>
            </w:r>
          </w:p>
        </w:tc>
        <w:tc>
          <w:tcPr>
            <w:tcW w:type="dxa" w:w="3000"/>
            <w:shd w:fill="FFFFFF" w:val="clear"/>
            <w:tcMar>
              <w:top w:type="dxa" w:w="60"/>
              <w:left w:type="dxa" w:w="110"/>
              <w:bottom w:type="dxa" w:w="60"/>
              <w:right w:type="dxa" w:w="110"/>
            </w:tcMar>
          </w:tcPr>
          <w:p>
            <w:r>
              <w:rPr>
                <w:sz w:val="19"/>
                <w:szCs w:val="19"/>
              </w:rPr>
              <w:t xml:space="preserve">2,000 × ~$0.35 + base</w:t>
            </w:r>
          </w:p>
        </w:tc>
        <w:tc>
          <w:tcPr>
            <w:tcW w:type="dxa" w:w="1500"/>
            <w:shd w:fill="FFFFFF" w:val="clear"/>
            <w:tcMar>
              <w:top w:type="dxa" w:w="60"/>
              <w:left w:type="dxa" w:w="110"/>
              <w:bottom w:type="dxa" w:w="60"/>
              <w:right w:type="dxa" w:w="110"/>
            </w:tcMar>
          </w:tcPr>
          <w:p>
            <w:r>
              <w:rPr>
                <w:sz w:val="19"/>
                <w:szCs w:val="19"/>
              </w:rPr>
              <w:t xml:space="preserve">~$1,000–$1,500</w:t>
            </w:r>
          </w:p>
        </w:tc>
      </w:tr>
      <w:tr>
        <w:tc>
          <w:tcPr>
            <w:tcW w:type="dxa" w:w="4860"/>
            <w:shd w:fill="F4F7F3" w:val="clear"/>
            <w:tcMar>
              <w:top w:type="dxa" w:w="60"/>
              <w:left w:type="dxa" w:w="110"/>
              <w:bottom w:type="dxa" w:w="60"/>
              <w:right w:type="dxa" w:w="110"/>
            </w:tcMar>
          </w:tcPr>
          <w:p>
            <w:r>
              <w:rPr>
                <w:sz w:val="19"/>
                <w:szCs w:val="19"/>
              </w:rPr>
              <w:t xml:space="preserve">Winery partners</w:t>
            </w:r>
          </w:p>
        </w:tc>
        <w:tc>
          <w:tcPr>
            <w:tcW w:type="dxa" w:w="3000"/>
            <w:shd w:fill="F4F7F3" w:val="clear"/>
            <w:tcMar>
              <w:top w:type="dxa" w:w="60"/>
              <w:left w:type="dxa" w:w="110"/>
              <w:bottom w:type="dxa" w:w="60"/>
              <w:right w:type="dxa" w:w="110"/>
            </w:tcMar>
          </w:tcPr>
          <w:p>
            <w:r>
              <w:rPr>
                <w:sz w:val="19"/>
                <w:szCs w:val="19"/>
              </w:rPr>
              <w:t xml:space="preserve">18 × $75/mo</w:t>
            </w:r>
          </w:p>
        </w:tc>
        <w:tc>
          <w:tcPr>
            <w:tcW w:type="dxa" w:w="1500"/>
            <w:shd w:fill="F4F7F3" w:val="clear"/>
            <w:tcMar>
              <w:top w:type="dxa" w:w="60"/>
              <w:left w:type="dxa" w:w="110"/>
              <w:bottom w:type="dxa" w:w="60"/>
              <w:right w:type="dxa" w:w="110"/>
            </w:tcMar>
          </w:tcPr>
          <w:p>
            <w:r>
              <w:rPr>
                <w:sz w:val="19"/>
                <w:szCs w:val="19"/>
              </w:rPr>
              <w:t xml:space="preserve">~$16,200</w:t>
            </w:r>
          </w:p>
        </w:tc>
      </w:tr>
      <w:tr>
        <w:tc>
          <w:tcPr>
            <w:tcW w:type="dxa" w:w="4860"/>
            <w:shd w:fill="FFFFFF" w:val="clear"/>
            <w:tcMar>
              <w:top w:type="dxa" w:w="60"/>
              <w:left w:type="dxa" w:w="110"/>
              <w:bottom w:type="dxa" w:w="60"/>
              <w:right w:type="dxa" w:w="110"/>
            </w:tcMar>
          </w:tcPr>
          <w:p>
            <w:r>
              <w:rPr>
                <w:sz w:val="19"/>
                <w:szCs w:val="19"/>
              </w:rPr>
              <w:t xml:space="preserve">Booking commissions</w:t>
            </w:r>
          </w:p>
        </w:tc>
        <w:tc>
          <w:tcPr>
            <w:tcW w:type="dxa" w:w="3000"/>
            <w:shd w:fill="FFFFFF" w:val="clear"/>
            <w:tcMar>
              <w:top w:type="dxa" w:w="60"/>
              <w:left w:type="dxa" w:w="110"/>
              <w:bottom w:type="dxa" w:w="60"/>
              <w:right w:type="dxa" w:w="110"/>
            </w:tcMar>
          </w:tcPr>
          <w:p>
            <w:r>
              <w:rPr>
                <w:sz w:val="19"/>
                <w:szCs w:val="19"/>
              </w:rPr>
              <w:t xml:space="preserve">400 bookings × $90 × 10%</w:t>
            </w:r>
          </w:p>
        </w:tc>
        <w:tc>
          <w:tcPr>
            <w:tcW w:type="dxa" w:w="1500"/>
            <w:shd w:fill="FFFFFF" w:val="clear"/>
            <w:tcMar>
              <w:top w:type="dxa" w:w="60"/>
              <w:left w:type="dxa" w:w="110"/>
              <w:bottom w:type="dxa" w:w="60"/>
              <w:right w:type="dxa" w:w="110"/>
            </w:tcMar>
          </w:tcPr>
          <w:p>
            <w:r>
              <w:rPr>
                <w:sz w:val="19"/>
                <w:szCs w:val="19"/>
              </w:rPr>
              <w:t xml:space="preserve">~$3,600</w:t>
            </w:r>
          </w:p>
        </w:tc>
      </w:tr>
      <w:tr>
        <w:tc>
          <w:tcPr>
            <w:tcW w:type="dxa" w:w="4860"/>
            <w:shd w:fill="F4F7F3" w:val="clear"/>
            <w:tcMar>
              <w:top w:type="dxa" w:w="60"/>
              <w:left w:type="dxa" w:w="110"/>
              <w:bottom w:type="dxa" w:w="60"/>
              <w:right w:type="dxa" w:w="110"/>
            </w:tcMar>
          </w:tcPr>
          <w:p>
            <w:r>
              <w:rPr>
                <w:sz w:val="19"/>
                <w:szCs w:val="19"/>
              </w:rPr>
              <w:t xml:space="preserve">SipLocal+ / Trip Pass</w:t>
            </w:r>
          </w:p>
        </w:tc>
        <w:tc>
          <w:tcPr>
            <w:tcW w:type="dxa" w:w="3000"/>
            <w:shd w:fill="F4F7F3" w:val="clear"/>
            <w:tcMar>
              <w:top w:type="dxa" w:w="60"/>
              <w:left w:type="dxa" w:w="110"/>
              <w:bottom w:type="dxa" w:w="60"/>
              <w:right w:type="dxa" w:w="110"/>
            </w:tcMar>
          </w:tcPr>
          <w:p>
            <w:r>
              <w:rPr>
                <w:sz w:val="19"/>
                <w:szCs w:val="19"/>
              </w:rPr>
              <w:t xml:space="preserve">250 × $4.99</w:t>
            </w:r>
          </w:p>
        </w:tc>
        <w:tc>
          <w:tcPr>
            <w:tcW w:type="dxa" w:w="1500"/>
            <w:shd w:fill="F4F7F3" w:val="clear"/>
            <w:tcMar>
              <w:top w:type="dxa" w:w="60"/>
              <w:left w:type="dxa" w:w="110"/>
              <w:bottom w:type="dxa" w:w="60"/>
              <w:right w:type="dxa" w:w="110"/>
            </w:tcMar>
          </w:tcPr>
          <w:p>
            <w:r>
              <w:rPr>
                <w:sz w:val="19"/>
                <w:szCs w:val="19"/>
              </w:rPr>
              <w:t xml:space="preserve">~$1,250</w:t>
            </w:r>
          </w:p>
        </w:tc>
      </w:tr>
      <w:tr>
        <w:tc>
          <w:tcPr>
            <w:tcW w:type="dxa" w:w="4860"/>
            <w:shd w:fill="FFFFFF" w:val="clear"/>
            <w:tcMar>
              <w:top w:type="dxa" w:w="60"/>
              <w:left w:type="dxa" w:w="110"/>
              <w:bottom w:type="dxa" w:w="60"/>
              <w:right w:type="dxa" w:w="110"/>
            </w:tcMar>
          </w:tcPr>
          <w:p>
            <w:r>
              <w:rPr>
                <w:b/>
                <w:bCs/>
                <w:sz w:val="19"/>
                <w:szCs w:val="19"/>
              </w:rPr>
              <w:t xml:space="preserve">Revenue total</w:t>
            </w:r>
          </w:p>
        </w:tc>
        <w:tc>
          <w:tcPr>
            <w:tcW w:type="dxa" w:w="3000"/>
            <w:shd w:fill="FFFFFF" w:val="clear"/>
            <w:tcMar>
              <w:top w:type="dxa" w:w="60"/>
              <w:left w:type="dxa" w:w="110"/>
              <w:bottom w:type="dxa" w:w="60"/>
              <w:right w:type="dxa" w:w="110"/>
            </w:tcMar>
          </w:tcPr>
          <w:p>
            <w:r>
              <w:rPr>
                <w:b/>
                <w:bCs/>
                <w:sz w:val="19"/>
                <w:szCs w:val="19"/>
              </w:rPr>
              <w:t xml:space="preserve">—</w:t>
            </w:r>
          </w:p>
        </w:tc>
        <w:tc>
          <w:tcPr>
            <w:tcW w:type="dxa" w:w="1500"/>
            <w:shd w:fill="FFFFFF" w:val="clear"/>
            <w:tcMar>
              <w:top w:type="dxa" w:w="60"/>
              <w:left w:type="dxa" w:w="110"/>
              <w:bottom w:type="dxa" w:w="60"/>
              <w:right w:type="dxa" w:w="110"/>
            </w:tcMar>
          </w:tcPr>
          <w:p>
            <w:r>
              <w:rPr>
                <w:b/>
                <w:bCs/>
                <w:color w:val="548323"/>
                <w:sz w:val="19"/>
                <w:szCs w:val="19"/>
              </w:rPr>
              <w:t xml:space="preserve">~$21,000</w:t>
            </w:r>
          </w:p>
        </w:tc>
      </w:tr>
      <w:tr>
        <w:tc>
          <w:tcPr>
            <w:tcW w:type="dxa" w:w="4860"/>
            <w:shd w:fill="F4F7F3" w:val="clear"/>
            <w:tcMar>
              <w:top w:type="dxa" w:w="60"/>
              <w:left w:type="dxa" w:w="110"/>
              <w:bottom w:type="dxa" w:w="60"/>
              <w:right w:type="dxa" w:w="110"/>
            </w:tcMar>
          </w:tcPr>
          <w:p>
            <w:r>
              <w:rPr>
                <w:b/>
                <w:bCs/>
                <w:sz w:val="19"/>
                <w:szCs w:val="19"/>
              </w:rPr>
              <w:t xml:space="preserve">AI cost as % of revenue</w:t>
            </w:r>
          </w:p>
        </w:tc>
        <w:tc>
          <w:tcPr>
            <w:tcW w:type="dxa" w:w="3000"/>
            <w:shd w:fill="F4F7F3" w:val="clear"/>
            <w:tcMar>
              <w:top w:type="dxa" w:w="60"/>
              <w:left w:type="dxa" w:w="110"/>
              <w:bottom w:type="dxa" w:w="60"/>
              <w:right w:type="dxa" w:w="110"/>
            </w:tcMar>
          </w:tcPr>
          <w:p>
            <w:r>
              <w:rPr>
                <w:b/>
                <w:bCs/>
                <w:sz w:val="19"/>
                <w:szCs w:val="19"/>
              </w:rPr>
              <w:t xml:space="preserve">—</w:t>
            </w:r>
          </w:p>
        </w:tc>
        <w:tc>
          <w:tcPr>
            <w:tcW w:type="dxa" w:w="1500"/>
            <w:shd w:fill="F4F7F3" w:val="clear"/>
            <w:tcMar>
              <w:top w:type="dxa" w:w="60"/>
              <w:left w:type="dxa" w:w="110"/>
              <w:bottom w:type="dxa" w:w="60"/>
              <w:right w:type="dxa" w:w="110"/>
            </w:tcMar>
          </w:tcPr>
          <w:p>
            <w:r>
              <w:rPr>
                <w:b/>
                <w:bCs/>
                <w:color w:val="548323"/>
                <w:sz w:val="19"/>
                <w:szCs w:val="19"/>
              </w:rPr>
              <w:t xml:space="preserve">~5–7%</w:t>
            </w:r>
          </w:p>
        </w:tc>
      </w:tr>
    </w:tbl>
    <w:p>
      <w:pPr>
        <w:spacing w:after="140" w:line="276"/>
      </w:pPr>
      <w:r>
        <w:t xml:space="preserve">These numbers are illustrative, not promises — the variables that matter most are how many winery partners you can sign and whether you build the booking integration. But the shape of the conclusion is robust: </w:t>
      </w:r>
      <w:r>
        <w:rPr>
          <w:b/>
          <w:bCs/>
        </w:rPr>
        <w:t xml:space="preserve">AI cost is a single-digit percentage of even a modest revenue base, and is dwarfed by one revenue line. The business is constrained by partner sales and distribution, not by inference.</w:t>
      </w:r>
    </w:p>
    <w:p>
      <w:pPr>
        <w:pStyle w:val="Heading2"/>
      </w:pPr>
      <w:r>
        <w:t xml:space="preserve">3.5 How it scales over time</w:t>
      </w:r>
    </w:p>
    <w:p>
      <w:pPr>
        <w:pStyle w:val="ListParagraph"/>
        <w:numPr>
          <w:ilvl w:val="0"/>
          <w:numId w:val="3"/>
        </w:numPr>
        <w:spacing w:after="70" w:line="270"/>
      </w:pPr>
      <w:r>
        <w:rPr>
          <w:b/>
          <w:bCs/>
        </w:rPr>
        <w:t xml:space="preserve">Phase 0 — Launch (now): </w:t>
      </w:r>
      <w:r>
        <w:t xml:space="preserve">ship Tasmania. Close the Part-A blockers (App Check, build pipeline, crash + analytics). Recruit 10–20 founding winery partners on free/discounted terms to seed supply and case studies. Add affiliate links wherever bookings already exist.</w:t>
      </w:r>
    </w:p>
    <w:p>
      <w:pPr>
        <w:pStyle w:val="ListParagraph"/>
        <w:numPr>
          <w:ilvl w:val="0"/>
          <w:numId w:val="3"/>
        </w:numPr>
        <w:spacing w:after="70" w:line="270"/>
      </w:pPr>
      <w:r>
        <w:rPr>
          <w:b/>
          <w:bCs/>
        </w:rPr>
        <w:t xml:space="preserve">Phase 1 — Monetise one region (0–12 mo): </w:t>
      </w:r>
      <w:r>
        <w:t xml:space="preserve">convert founding partners to paid featured tiers, turn on commission tracking, and launch the Trip Pass. Keep AI flat with the Gemini default plus quotas. Use the now-instrumented analytics to prove the funnel to partners.</w:t>
      </w:r>
    </w:p>
    <w:p>
      <w:pPr>
        <w:pStyle w:val="ListParagraph"/>
        <w:numPr>
          <w:ilvl w:val="0"/>
          <w:numId w:val="3"/>
        </w:numPr>
        <w:spacing w:after="70" w:line="270"/>
      </w:pPr>
      <w:r>
        <w:rPr>
          <w:b/>
          <w:bCs/>
        </w:rPr>
        <w:t xml:space="preserve">Phase 2 — Multi-region (12–24 mo): </w:t>
      </w:r>
      <w:r>
        <w:t xml:space="preserve">add 2–4 regions (Sonoma, Margaret River, etc.) via the documented playbook. Marginal AI/infra per region is low because functions, models, and caches are shared; revenue multiplies per region. Begin DMO sponsorships using region one as the reference.</w:t>
      </w:r>
    </w:p>
    <w:p>
      <w:pPr>
        <w:pStyle w:val="ListParagraph"/>
        <w:numPr>
          <w:ilvl w:val="0"/>
          <w:numId w:val="3"/>
        </w:numPr>
        <w:spacing w:after="70" w:line="270"/>
      </w:pPr>
      <w:r>
        <w:rPr>
          <w:b/>
          <w:bCs/>
        </w:rPr>
        <w:t xml:space="preserve">Phase 3 — Platform (24 mo+): </w:t>
      </w:r>
      <w:r>
        <w:t xml:space="preserve">license / white-label to tourism boards and multi-region operators, integrate wine e-commerce, and sell data products. As B2B and commission revenue dominate, AI cost as a share of revenue trends toward negligible.</w:t>
      </w:r>
    </w:p>
    <w:p>
      <w:pPr>
        <w:pStyle w:val="Heading2"/>
      </w:pPr>
      <w:r>
        <w:t xml:space="preserve">3.6 Keeping AI cost flat as you grow</w:t>
      </w:r>
    </w:p>
    <w:p>
      <w:pPr>
        <w:pStyle w:val="ListParagraph"/>
        <w:numPr>
          <w:ilvl w:val="0"/>
          <w:numId w:val="2"/>
        </w:numPr>
        <w:spacing w:after="70" w:line="270"/>
      </w:pPr>
      <w:r>
        <w:rPr>
          <w:b/>
          <w:bCs/>
        </w:rPr>
        <w:t xml:space="preserve">Hard caps stay on: </w:t>
      </w:r>
      <w:r>
        <w:t xml:space="preserve">App Check + per-session daily quota mean cost scales with genuine engaged users, not with abuse or scrapers.</w:t>
      </w:r>
    </w:p>
    <w:p>
      <w:pPr>
        <w:pStyle w:val="ListParagraph"/>
        <w:numPr>
          <w:ilvl w:val="0"/>
          <w:numId w:val="2"/>
        </w:numPr>
        <w:spacing w:after="70" w:line="270"/>
      </w:pPr>
      <w:r>
        <w:rPr>
          <w:b/>
          <w:bCs/>
        </w:rPr>
        <w:t xml:space="preserve">Cheapest viable model by default: </w:t>
      </w:r>
      <w:r>
        <w:t xml:space="preserve">Gemini Flash on the response leg already cut response cost roughly ten-fold versus the prior OpenAI default. A </w:t>
      </w:r>
      <w:r>
        <w:rPr>
          <w:rFonts w:ascii="Consolas" w:cs="Consolas" w:eastAsia="Consolas" w:hAnsi="Consolas"/>
          <w:sz w:val="18"/>
          <w:szCs w:val="18"/>
        </w:rPr>
        <w:t xml:space="preserve">config/concierge</w:t>
      </w:r>
      <w:r>
        <w:t xml:space="preserve"> Firestore doc (recommended in the concierge audit) would let you swap models or tighten limits in minutes as a kill switch if a provider has an incident or a price hike.</w:t>
      </w:r>
    </w:p>
    <w:p>
      <w:pPr>
        <w:pStyle w:val="ListParagraph"/>
        <w:numPr>
          <w:ilvl w:val="0"/>
          <w:numId w:val="2"/>
        </w:numPr>
        <w:spacing w:after="70" w:line="270"/>
      </w:pPr>
      <w:r>
        <w:rPr>
          <w:b/>
          <w:bCs/>
        </w:rPr>
        <w:t xml:space="preserve">Prompt caching + shared infrastructure: </w:t>
      </w:r>
      <w:r>
        <w:t xml:space="preserve">restructuring the system prompt so the constant sections come first (flagged in the audit) preserves the prompt cache across regions, so adding regions doesn't linearly add first-turn cost.</w:t>
      </w:r>
    </w:p>
    <w:p>
      <w:pPr>
        <w:pStyle w:val="ListParagraph"/>
        <w:numPr>
          <w:ilvl w:val="0"/>
          <w:numId w:val="2"/>
        </w:numPr>
        <w:spacing w:after="70" w:line="270"/>
      </w:pPr>
      <w:r>
        <w:rPr>
          <w:b/>
          <w:bCs/>
        </w:rPr>
        <w:t xml:space="preserve">Free tier is naturally self-limiting: </w:t>
      </w:r>
      <w:r>
        <w:t xml:space="preserve">most users browse; only planners run many turns, and the Trip Pass puts a price on the heaviest of them.</w:t>
      </w:r>
    </w:p>
    <w:p>
      <w:pPr>
        <w:pStyle w:val="Heading2"/>
      </w:pPr>
      <w:r>
        <w:t xml:space="preserve">3.7 Key risks</w:t>
      </w:r>
    </w:p>
    <w:p>
      <w:pPr>
        <w:pStyle w:val="ListParagraph"/>
        <w:numPr>
          <w:ilvl w:val="0"/>
          <w:numId w:val="2"/>
        </w:numPr>
        <w:spacing w:after="70" w:line="270"/>
      </w:pPr>
      <w:r>
        <w:rPr>
          <w:b/>
          <w:bCs/>
        </w:rPr>
        <w:t xml:space="preserve">Abuse before App Check is on. </w:t>
      </w:r>
      <w:r>
        <w:t xml:space="preserve">Until enforcement is enabled, the public endpoint is the single largest cost risk. This is the top priority in Part A.</w:t>
      </w:r>
    </w:p>
    <w:p>
      <w:pPr>
        <w:pStyle w:val="ListParagraph"/>
        <w:numPr>
          <w:ilvl w:val="0"/>
          <w:numId w:val="2"/>
        </w:numPr>
        <w:spacing w:after="70" w:line="270"/>
      </w:pPr>
      <w:r>
        <w:rPr>
          <w:b/>
          <w:bCs/>
        </w:rPr>
        <w:t xml:space="preserve">Partner sales is a real motion. </w:t>
      </w:r>
      <w:r>
        <w:t xml:space="preserve">The B2B revenue that funds everything requires actually selling to wineries — a sales effort, not a switch. Seed it with free founding partners and visitation data.</w:t>
      </w:r>
    </w:p>
    <w:p>
      <w:pPr>
        <w:pStyle w:val="ListParagraph"/>
        <w:numPr>
          <w:ilvl w:val="0"/>
          <w:numId w:val="2"/>
        </w:numPr>
        <w:spacing w:after="70" w:line="270"/>
      </w:pPr>
      <w:r>
        <w:rPr>
          <w:b/>
          <w:bCs/>
        </w:rPr>
        <w:t xml:space="preserve">Booking integration isn't built. </w:t>
      </w:r>
      <w:r>
        <w:t xml:space="preserve">The highest-upside revenue (commissions) depends on integrating a booking path you don't yet have.</w:t>
      </w:r>
    </w:p>
    <w:p>
      <w:pPr>
        <w:pStyle w:val="ListParagraph"/>
        <w:numPr>
          <w:ilvl w:val="0"/>
          <w:numId w:val="2"/>
        </w:numPr>
        <w:spacing w:after="70" w:line="270"/>
      </w:pPr>
      <w:r>
        <w:rPr>
          <w:b/>
          <w:bCs/>
        </w:rPr>
        <w:t xml:space="preserve">Provider and price dependency. </w:t>
      </w:r>
      <w:r>
        <w:t xml:space="preserve">You rely on OpenAI, Google/Gemini, Voyage, Upstash and Google Maps. Model pricing and Maps billing are the inputs most able to move your costs; the config kill-switch and key restrictions mitigate this.</w:t>
      </w:r>
    </w:p>
    <w:p>
      <w:pPr>
        <w:pStyle w:val="ListParagraph"/>
        <w:numPr>
          <w:ilvl w:val="0"/>
          <w:numId w:val="2"/>
        </w:numPr>
        <w:spacing w:after="70" w:line="270"/>
      </w:pPr>
      <w:r>
        <w:rPr>
          <w:b/>
          <w:bCs/>
        </w:rPr>
        <w:t xml:space="preserve">Seasonality. </w:t>
      </w:r>
      <w:r>
        <w:t xml:space="preserve">Wine tourism is seasonal; revenue and AI usage will both swing with the visitor calendar. A seasonal pass and annual partner contracts smooth this.</w:t>
      </w:r>
    </w:p>
    <w:p>
      <w:pPr>
        <w:pBdr>
          <w:bottom w:val="single" w:color="548323" w:sz="6" w:space="1"/>
        </w:pBdr>
        <w:spacing w:after="160"/>
      </w:pPr>
    </w:p>
    <w:p>
      <w:pPr>
        <w:spacing w:after="140" w:line="276"/>
      </w:pPr>
      <w:r>
        <w:rPr>
          <w:b/>
          <w:bCs/>
        </w:rPr>
        <w:t xml:space="preserve">Bottom line. </w:t>
      </w:r>
      <w:r>
        <w:t xml:space="preserve">SipLocal is close to launch-ready on the things that are hard to build and behind on the things that are quick to wire. Fix the handful of blockers — App Check, build pipeline, crash + analytics — and you have a shippable, defensible product. The AI that worried you is the cheap part: capped, already optimised, and easily funded by a single tier of winery partners. Spend your energy on distribution, partner sales, and proving the second region — that is where this becomes a business.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60"/>
        <w:sz w:val="16"/>
        <w:szCs w:val="16"/>
      </w:rPr>
      <w:t xml:space="preserve">Page </w:t>
    </w:r>
    <w:r>
      <w:rPr>
        <w:color w:val="5A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60"/>
        <w:sz w:val="16"/>
        <w:szCs w:val="16"/>
      </w:rPr>
      <w:t xml:space="preserve">SipLocal — Readiness Review &amp;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48323"/>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201B"/>
      <w:sz w:val="25"/>
      <w:szCs w:val="25"/>
    </w:rPr>
  </w:style>
  <w:style w:type="paragraph" w:styleId="Heading3">
    <w:name w:val="Heading 3"/>
    <w:basedOn w:val="Normal"/>
    <w:next w:val="Normal"/>
    <w:qFormat/>
    <w:pPr>
      <w:spacing w:after="90" w:before="160"/>
      <w:outlineLvl w:val="2"/>
    </w:pPr>
    <w:rPr>
      <w:rFonts w:ascii="Arial" w:cs="Arial" w:eastAsia="Arial" w:hAnsi="Arial"/>
      <w:b/>
      <w:bCs/>
      <w:color w:val="3340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SipLocal — Production-Readiness Review &amp; Business Plan</dc:title>
  <dc:creator>SipLocal Review</dc:creator>
  <cp:lastModifiedBy>Un-named</cp:lastModifiedBy>
  <cp:revision>1</cp:revision>
  <dcterms:created xsi:type="dcterms:W3CDTF">2026-06-10T01:56:18.956Z</dcterms:created>
  <dcterms:modified xsi:type="dcterms:W3CDTF">2026-06-10T01:56:18.956Z</dcterms:modified>
</cp:coreProperties>
</file>

<file path=docProps/custom.xml><?xml version="1.0" encoding="utf-8"?>
<Properties xmlns="http://schemas.openxmlformats.org/officeDocument/2006/custom-properties" xmlns:vt="http://schemas.openxmlformats.org/officeDocument/2006/docPropsVTypes"/>
</file>