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EBF" w:rsidRPr="00CE559C" w:rsidRDefault="00667EBF" w:rsidP="00CE55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060"/>
          <w:sz w:val="26"/>
          <w:szCs w:val="26"/>
        </w:rPr>
      </w:pPr>
      <w:r w:rsidRPr="00CE559C">
        <w:rPr>
          <w:rFonts w:ascii="Arial" w:eastAsia="Times New Roman" w:hAnsi="Arial" w:cs="Arial"/>
          <w:b/>
          <w:bCs/>
          <w:color w:val="002060"/>
          <w:sz w:val="26"/>
          <w:szCs w:val="26"/>
        </w:rPr>
        <w:t>Draft Syllabus for NE 309</w:t>
      </w:r>
    </w:p>
    <w:p w:rsidR="00CE559C" w:rsidRPr="00CE559C" w:rsidRDefault="00CE559C" w:rsidP="00CE55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060"/>
          <w:sz w:val="26"/>
          <w:szCs w:val="26"/>
        </w:rPr>
      </w:pPr>
    </w:p>
    <w:p w:rsidR="00CE559C" w:rsidRDefault="00CE559C" w:rsidP="00CE55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 w:rsidRPr="00CE559C">
        <w:rPr>
          <w:rFonts w:ascii="Arial" w:eastAsia="Times New Roman" w:hAnsi="Arial" w:cs="Arial"/>
          <w:b/>
          <w:bCs/>
          <w:color w:val="002060"/>
          <w:sz w:val="24"/>
          <w:szCs w:val="24"/>
        </w:rPr>
        <w:t>Materials Analysis for Nuclear Engineering</w:t>
      </w:r>
    </w:p>
    <w:p w:rsidR="007C6AC5" w:rsidRDefault="007C6AC5" w:rsidP="00CE55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</w:p>
    <w:p w:rsidR="007C6AC5" w:rsidRPr="00CE559C" w:rsidRDefault="00ED104A" w:rsidP="00CE559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206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</w:rPr>
        <w:t>Fall 2021 or Spring 2022</w:t>
      </w:r>
      <w:bookmarkStart w:id="0" w:name="_GoBack"/>
      <w:bookmarkEnd w:id="0"/>
    </w:p>
    <w:p w:rsidR="00667EBF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060"/>
        </w:rPr>
      </w:pPr>
    </w:p>
    <w:p w:rsidR="00AB509A" w:rsidRPr="00FA56B6" w:rsidRDefault="0051376A" w:rsidP="00AB509A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206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2060"/>
          <w:sz w:val="24"/>
          <w:szCs w:val="24"/>
        </w:rPr>
        <w:t>NE 309 is constituted</w:t>
      </w:r>
      <w:r w:rsidR="00AB509A" w:rsidRPr="00FA56B6">
        <w:rPr>
          <w:rFonts w:asciiTheme="majorHAnsi" w:eastAsia="Times New Roman" w:hAnsiTheme="majorHAnsi" w:cs="Arial"/>
          <w:bCs/>
          <w:color w:val="002060"/>
          <w:sz w:val="24"/>
          <w:szCs w:val="24"/>
        </w:rPr>
        <w:t xml:space="preserve"> an introduction to materials analysis pertinent to nuclear engineering. It focusses on continuum mechanics</w:t>
      </w:r>
      <w:r w:rsidR="000E6B28">
        <w:rPr>
          <w:rFonts w:asciiTheme="majorHAnsi" w:eastAsia="Times New Roman" w:hAnsiTheme="majorHAnsi" w:cs="Arial"/>
          <w:bCs/>
          <w:color w:val="002060"/>
          <w:sz w:val="24"/>
          <w:szCs w:val="24"/>
        </w:rPr>
        <w:t xml:space="preserve">, </w:t>
      </w:r>
      <w:r w:rsidR="00AB509A" w:rsidRPr="00FA56B6">
        <w:rPr>
          <w:rFonts w:asciiTheme="majorHAnsi" w:eastAsia="Times New Roman" w:hAnsiTheme="majorHAnsi" w:cs="Arial"/>
          <w:bCs/>
          <w:color w:val="002060"/>
          <w:sz w:val="24"/>
          <w:szCs w:val="24"/>
        </w:rPr>
        <w:t xml:space="preserve">thermodynamics </w:t>
      </w:r>
      <w:r w:rsidR="000E6B28">
        <w:rPr>
          <w:rFonts w:asciiTheme="majorHAnsi" w:eastAsia="Times New Roman" w:hAnsiTheme="majorHAnsi" w:cs="Arial"/>
          <w:bCs/>
          <w:color w:val="002060"/>
          <w:sz w:val="24"/>
          <w:szCs w:val="24"/>
        </w:rPr>
        <w:t xml:space="preserve">and kinetics </w:t>
      </w:r>
      <w:r w:rsidR="00AB509A" w:rsidRPr="00FA56B6">
        <w:rPr>
          <w:rFonts w:asciiTheme="majorHAnsi" w:eastAsia="Times New Roman" w:hAnsiTheme="majorHAnsi" w:cs="Arial"/>
          <w:bCs/>
          <w:color w:val="002060"/>
          <w:sz w:val="24"/>
          <w:szCs w:val="24"/>
        </w:rPr>
        <w:t>of nuclear materials. NE 309 will serve as a foundational course for students to take advanced courses both at the undergraduate and graduate level</w:t>
      </w:r>
      <w:r w:rsidR="00C13E72">
        <w:rPr>
          <w:rFonts w:asciiTheme="majorHAnsi" w:eastAsia="Times New Roman" w:hAnsiTheme="majorHAnsi" w:cs="Arial"/>
          <w:bCs/>
          <w:color w:val="002060"/>
          <w:sz w:val="24"/>
          <w:szCs w:val="24"/>
        </w:rPr>
        <w:t>,</w:t>
      </w:r>
      <w:r w:rsidR="00067450" w:rsidRPr="00FA56B6">
        <w:rPr>
          <w:rFonts w:asciiTheme="majorHAnsi" w:eastAsia="Times New Roman" w:hAnsiTheme="majorHAnsi" w:cs="Arial"/>
          <w:bCs/>
          <w:color w:val="002060"/>
          <w:sz w:val="24"/>
          <w:szCs w:val="24"/>
        </w:rPr>
        <w:t xml:space="preserve"> as well as enabling them to perform senior design pertaining to materials, fuel and structural engineering. </w:t>
      </w:r>
    </w:p>
    <w:p w:rsidR="00AB509A" w:rsidRPr="00E67D01" w:rsidRDefault="00AB509A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060"/>
        </w:rPr>
      </w:pPr>
    </w:p>
    <w:p w:rsidR="00E67D01" w:rsidRDefault="00E67D01" w:rsidP="00E67D0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060"/>
        </w:rPr>
      </w:pPr>
      <w:r w:rsidRPr="00E67D01">
        <w:rPr>
          <w:rFonts w:ascii="Arial" w:eastAsia="Times New Roman" w:hAnsi="Arial" w:cs="Arial"/>
          <w:b/>
          <w:bCs/>
          <w:color w:val="002060"/>
        </w:rPr>
        <w:t>(</w:t>
      </w:r>
      <w:r>
        <w:rPr>
          <w:rFonts w:ascii="Arial" w:eastAsia="Times New Roman" w:hAnsi="Arial" w:cs="Arial"/>
          <w:b/>
          <w:bCs/>
          <w:color w:val="002060"/>
        </w:rPr>
        <w:t>1</w:t>
      </w:r>
      <w:r w:rsidRPr="00E67D01">
        <w:rPr>
          <w:rFonts w:ascii="Arial" w:eastAsia="Times New Roman" w:hAnsi="Arial" w:cs="Arial"/>
          <w:b/>
          <w:bCs/>
          <w:color w:val="002060"/>
        </w:rPr>
        <w:t>)</w:t>
      </w:r>
      <w:r>
        <w:rPr>
          <w:rFonts w:ascii="Arial" w:eastAsia="Times New Roman" w:hAnsi="Arial" w:cs="Arial"/>
          <w:b/>
          <w:bCs/>
          <w:color w:val="002060"/>
        </w:rPr>
        <w:t xml:space="preserve"> Introduction to Materials (10%)</w:t>
      </w:r>
    </w:p>
    <w:p w:rsidR="00E67D01" w:rsidRPr="00E67D01" w:rsidRDefault="00E67D01" w:rsidP="00E67D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</w:rPr>
      </w:pPr>
    </w:p>
    <w:p w:rsidR="00E67D01" w:rsidRPr="00C13E72" w:rsidRDefault="00E67D01" w:rsidP="00E67D0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Continuum and atomic perspectives </w:t>
      </w:r>
    </w:p>
    <w:p w:rsidR="00E67D01" w:rsidRPr="00C13E72" w:rsidRDefault="00E67D01" w:rsidP="00E67D0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Bonding and atomic structures</w:t>
      </w:r>
    </w:p>
    <w:p w:rsidR="00357359" w:rsidRPr="00C13E72" w:rsidRDefault="00357359" w:rsidP="00E67D0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Crystals and defects</w:t>
      </w:r>
      <w:r w:rsidR="00672C13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, disorder</w:t>
      </w:r>
      <w:r w:rsidR="00AB509A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ed</w:t>
      </w:r>
      <w:r w:rsidR="00672C13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and amorphous structures</w:t>
      </w:r>
    </w:p>
    <w:p w:rsidR="00E67D01" w:rsidRDefault="00E67D01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2060"/>
        </w:rPr>
      </w:pPr>
    </w:p>
    <w:p w:rsidR="00667EBF" w:rsidRPr="00E67D01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</w:rPr>
      </w:pPr>
      <w:r w:rsidRPr="00E67D01">
        <w:rPr>
          <w:rFonts w:ascii="Arial" w:eastAsia="Times New Roman" w:hAnsi="Arial" w:cs="Arial"/>
          <w:b/>
          <w:bCs/>
          <w:color w:val="002060"/>
        </w:rPr>
        <w:t>(</w:t>
      </w:r>
      <w:r w:rsidR="00E67D01">
        <w:rPr>
          <w:rFonts w:ascii="Arial" w:eastAsia="Times New Roman" w:hAnsi="Arial" w:cs="Arial"/>
          <w:b/>
          <w:bCs/>
          <w:color w:val="002060"/>
        </w:rPr>
        <w:t>2</w:t>
      </w:r>
      <w:r w:rsidR="001C7A07">
        <w:rPr>
          <w:rFonts w:ascii="Arial" w:eastAsia="Times New Roman" w:hAnsi="Arial" w:cs="Arial"/>
          <w:b/>
          <w:bCs/>
          <w:color w:val="002060"/>
        </w:rPr>
        <w:t>) Mechanics of Materials</w:t>
      </w:r>
      <w:r w:rsidRPr="00E67D01">
        <w:rPr>
          <w:rFonts w:ascii="Arial" w:eastAsia="Times New Roman" w:hAnsi="Arial" w:cs="Arial"/>
          <w:b/>
          <w:bCs/>
          <w:color w:val="002060"/>
        </w:rPr>
        <w:t xml:space="preserve"> (</w:t>
      </w:r>
      <w:r w:rsidR="00E67D01">
        <w:rPr>
          <w:rFonts w:ascii="Arial" w:eastAsia="Times New Roman" w:hAnsi="Arial" w:cs="Arial"/>
          <w:b/>
          <w:bCs/>
          <w:color w:val="002060"/>
        </w:rPr>
        <w:t>4</w:t>
      </w:r>
      <w:r w:rsidRPr="00E67D01">
        <w:rPr>
          <w:rFonts w:ascii="Arial" w:eastAsia="Times New Roman" w:hAnsi="Arial" w:cs="Arial"/>
          <w:b/>
          <w:bCs/>
          <w:color w:val="002060"/>
        </w:rPr>
        <w:t>0%)</w:t>
      </w:r>
    </w:p>
    <w:p w:rsidR="00667EBF" w:rsidRPr="00E67D01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</w:rPr>
      </w:pPr>
    </w:p>
    <w:p w:rsidR="00E67D01" w:rsidRPr="00C13E72" w:rsidRDefault="00667EBF" w:rsidP="00E67D0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Deformation, S</w:t>
      </w:r>
      <w:r w:rsidR="00E67D01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tress-strain, Linear elasticity</w:t>
      </w:r>
    </w:p>
    <w:p w:rsidR="00E67D01" w:rsidRPr="00C13E72" w:rsidRDefault="00C632D3" w:rsidP="00667EB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Theories of f</w:t>
      </w:r>
      <w:r w:rsidR="00E67D01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ailure, Design of pressure vessel</w:t>
      </w:r>
    </w:p>
    <w:p w:rsidR="00E67D01" w:rsidRPr="00C13E72" w:rsidRDefault="00667EBF" w:rsidP="00667EB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Kinematic equations, Cauchy's stress, Constitutive equations (3D)</w:t>
      </w:r>
    </w:p>
    <w:p w:rsidR="00E67D01" w:rsidRPr="00C13E72" w:rsidRDefault="00667EBF" w:rsidP="00667EB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Yield</w:t>
      </w:r>
      <w:r w:rsidR="00E67D01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and plasticity</w:t>
      </w:r>
    </w:p>
    <w:p w:rsidR="00667EBF" w:rsidRPr="00E67D01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</w:rPr>
      </w:pPr>
    </w:p>
    <w:p w:rsidR="00667EBF" w:rsidRPr="00E67D01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</w:rPr>
      </w:pPr>
      <w:r w:rsidRPr="00E67D01">
        <w:rPr>
          <w:rFonts w:ascii="Arial" w:eastAsia="Times New Roman" w:hAnsi="Arial" w:cs="Arial"/>
          <w:b/>
          <w:bCs/>
          <w:color w:val="002060"/>
        </w:rPr>
        <w:t>(</w:t>
      </w:r>
      <w:r w:rsidR="00D21801">
        <w:rPr>
          <w:rFonts w:ascii="Arial" w:eastAsia="Times New Roman" w:hAnsi="Arial" w:cs="Arial"/>
          <w:b/>
          <w:bCs/>
          <w:color w:val="002060"/>
        </w:rPr>
        <w:t>3</w:t>
      </w:r>
      <w:r w:rsidRPr="00E67D01">
        <w:rPr>
          <w:rFonts w:ascii="Arial" w:eastAsia="Times New Roman" w:hAnsi="Arial" w:cs="Arial"/>
          <w:b/>
          <w:bCs/>
          <w:color w:val="002060"/>
        </w:rPr>
        <w:t xml:space="preserve">) Thermodynamics </w:t>
      </w:r>
      <w:r w:rsidR="00D21801">
        <w:rPr>
          <w:rFonts w:ascii="Arial" w:eastAsia="Times New Roman" w:hAnsi="Arial" w:cs="Arial"/>
          <w:b/>
          <w:bCs/>
          <w:color w:val="002060"/>
        </w:rPr>
        <w:t xml:space="preserve">and Kinetics </w:t>
      </w:r>
      <w:r w:rsidRPr="00E67D01">
        <w:rPr>
          <w:rFonts w:ascii="Arial" w:eastAsia="Times New Roman" w:hAnsi="Arial" w:cs="Arial"/>
          <w:b/>
          <w:bCs/>
          <w:color w:val="002060"/>
        </w:rPr>
        <w:t>(</w:t>
      </w:r>
      <w:r w:rsidR="00A42B64">
        <w:rPr>
          <w:rFonts w:ascii="Arial" w:eastAsia="Times New Roman" w:hAnsi="Arial" w:cs="Arial"/>
          <w:b/>
          <w:bCs/>
          <w:color w:val="002060"/>
        </w:rPr>
        <w:t>5</w:t>
      </w:r>
      <w:r w:rsidRPr="00E67D01">
        <w:rPr>
          <w:rFonts w:ascii="Arial" w:eastAsia="Times New Roman" w:hAnsi="Arial" w:cs="Arial"/>
          <w:b/>
          <w:bCs/>
          <w:color w:val="002060"/>
        </w:rPr>
        <w:t>0%)</w:t>
      </w:r>
    </w:p>
    <w:p w:rsidR="00667EBF" w:rsidRPr="00C13E72" w:rsidRDefault="00667EBF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</w:p>
    <w:p w:rsidR="00D21801" w:rsidRPr="00C13E72" w:rsidRDefault="00667EBF" w:rsidP="00667EB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Thermodynamics </w:t>
      </w:r>
      <w:r w:rsidR="00A42B64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states, Entropy, 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Free </w:t>
      </w:r>
      <w:r w:rsidR="00D21801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energy</w:t>
      </w:r>
    </w:p>
    <w:p w:rsidR="00357359" w:rsidRPr="00C13E72" w:rsidRDefault="00D21801" w:rsidP="00667EB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Phase diagrams and Gibbs phase rule</w:t>
      </w:r>
    </w:p>
    <w:p w:rsidR="00357359" w:rsidRPr="00C13E72" w:rsidRDefault="005D3324" w:rsidP="00667EB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Non-equilibrium 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constitutive models</w:t>
      </w:r>
      <w:r>
        <w:rPr>
          <w:rFonts w:asciiTheme="majorHAnsi" w:eastAsia="Times New Roman" w:hAnsiTheme="majorHAnsi" w:cs="Arial"/>
          <w:color w:val="002060"/>
          <w:sz w:val="24"/>
          <w:szCs w:val="24"/>
        </w:rPr>
        <w:t>,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color w:val="002060"/>
          <w:sz w:val="24"/>
          <w:szCs w:val="24"/>
        </w:rPr>
        <w:t>c</w:t>
      </w:r>
      <w:r w:rsidR="00357359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hemical</w:t>
      </w:r>
      <w:r w:rsidR="00B34FF5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and thermodynamic</w:t>
      </w:r>
      <w:r w:rsidR="00357359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potential</w:t>
      </w:r>
      <w:r w:rsidR="00B34FF5">
        <w:rPr>
          <w:rFonts w:asciiTheme="majorHAnsi" w:eastAsia="Times New Roman" w:hAnsiTheme="majorHAnsi" w:cs="Arial"/>
          <w:color w:val="002060"/>
          <w:sz w:val="24"/>
          <w:szCs w:val="24"/>
        </w:rPr>
        <w:t>s</w:t>
      </w:r>
      <w:r w:rsidR="00357359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 </w:t>
      </w:r>
    </w:p>
    <w:p w:rsidR="00357359" w:rsidRPr="00C13E72" w:rsidRDefault="00EA54F5" w:rsidP="00667EBF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Introduction to r</w:t>
      </w:r>
      <w:r w:rsidR="00357359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ate theory </w:t>
      </w:r>
      <w:r w:rsidR="005D3324">
        <w:rPr>
          <w:rFonts w:asciiTheme="majorHAnsi" w:eastAsia="Times New Roman" w:hAnsiTheme="majorHAnsi" w:cs="Arial"/>
          <w:color w:val="002060"/>
          <w:sz w:val="24"/>
          <w:szCs w:val="24"/>
        </w:rPr>
        <w:t>and diffusion</w:t>
      </w:r>
    </w:p>
    <w:p w:rsidR="002C5AAB" w:rsidRDefault="002C5AAB" w:rsidP="002C5AAB">
      <w:pPr>
        <w:pStyle w:val="ListParagraph"/>
        <w:numPr>
          <w:ilvl w:val="1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Thermal </w:t>
      </w:r>
      <w:r w:rsidR="00930931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and activation </w:t>
      </w:r>
      <w:r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energy, </w:t>
      </w:r>
      <w:r w:rsidRPr="003A5CE7">
        <w:rPr>
          <w:rFonts w:asciiTheme="majorHAnsi" w:eastAsia="Times New Roman" w:hAnsiTheme="majorHAnsi" w:cs="Arial"/>
          <w:color w:val="002060"/>
          <w:sz w:val="24"/>
          <w:szCs w:val="24"/>
        </w:rPr>
        <w:t>Arrhenius Law</w:t>
      </w:r>
    </w:p>
    <w:p w:rsidR="00667EBF" w:rsidRDefault="00667EBF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463E" w:rsidRDefault="00BC463E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C463E" w:rsidRPr="00CE559C" w:rsidRDefault="00BC463E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CE559C">
        <w:rPr>
          <w:rFonts w:ascii="Arial" w:eastAsia="Times New Roman" w:hAnsi="Arial" w:cs="Arial"/>
          <w:b/>
          <w:color w:val="002060"/>
          <w:sz w:val="24"/>
          <w:szCs w:val="24"/>
        </w:rPr>
        <w:t xml:space="preserve">Materials </w:t>
      </w:r>
      <w:r w:rsidR="00F71AD2" w:rsidRPr="00CE559C">
        <w:rPr>
          <w:rFonts w:ascii="Arial" w:eastAsia="Times New Roman" w:hAnsi="Arial" w:cs="Arial"/>
          <w:b/>
          <w:color w:val="002060"/>
          <w:sz w:val="24"/>
          <w:szCs w:val="24"/>
        </w:rPr>
        <w:t xml:space="preserve">Stream </w:t>
      </w:r>
      <w:r w:rsidR="004C4789" w:rsidRPr="00CE559C">
        <w:rPr>
          <w:rFonts w:ascii="Arial" w:eastAsia="Times New Roman" w:hAnsi="Arial" w:cs="Arial"/>
          <w:b/>
          <w:color w:val="002060"/>
          <w:sz w:val="24"/>
          <w:szCs w:val="24"/>
        </w:rPr>
        <w:t>(400 and 500 Levels)</w:t>
      </w:r>
    </w:p>
    <w:p w:rsidR="00BC463E" w:rsidRPr="00CE559C" w:rsidRDefault="00BC463E" w:rsidP="00667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F71AD2" w:rsidRPr="00C13E72" w:rsidRDefault="00F71AD2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NE 309: 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ab/>
        <w:t>Jacob</w:t>
      </w:r>
    </w:p>
    <w:p w:rsidR="00F71AD2" w:rsidRPr="00C13E72" w:rsidRDefault="00BC463E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NE </w:t>
      </w:r>
      <w:r w:rsidR="00F71AD2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409:</w:t>
      </w:r>
      <w:r w:rsidR="00F71AD2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ab/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KL</w:t>
      </w:r>
    </w:p>
    <w:p w:rsidR="00F71AD2" w:rsidRPr="00C13E72" w:rsidRDefault="00F71AD2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</w:p>
    <w:p w:rsidR="00F71AD2" w:rsidRPr="00C13E72" w:rsidRDefault="00F71AD2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NE 5XX: 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ab/>
        <w:t>Djamel</w:t>
      </w:r>
    </w:p>
    <w:p w:rsidR="00BC463E" w:rsidRPr="00C13E72" w:rsidRDefault="00F71AD2" w:rsidP="00667EB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NE 5YY: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ab/>
      </w:r>
      <w:r w:rsidR="00BC463E"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>Ben</w:t>
      </w:r>
    </w:p>
    <w:p w:rsidR="00F71AD2" w:rsidRPr="00C13E72" w:rsidRDefault="00F71AD2" w:rsidP="00F71AD2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2060"/>
          <w:sz w:val="24"/>
          <w:szCs w:val="24"/>
        </w:rPr>
      </w:pP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 xml:space="preserve">NE 550: </w:t>
      </w:r>
      <w:r w:rsidRPr="00C13E72">
        <w:rPr>
          <w:rFonts w:asciiTheme="majorHAnsi" w:eastAsia="Times New Roman" w:hAnsiTheme="majorHAnsi" w:cs="Arial"/>
          <w:color w:val="002060"/>
          <w:sz w:val="24"/>
          <w:szCs w:val="24"/>
        </w:rPr>
        <w:tab/>
        <w:t>Jacob</w:t>
      </w:r>
    </w:p>
    <w:p w:rsidR="00F71AD2" w:rsidRPr="00CE559C" w:rsidRDefault="00F71AD2" w:rsidP="00F71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2060"/>
          <w:sz w:val="24"/>
          <w:szCs w:val="24"/>
        </w:rPr>
      </w:pPr>
    </w:p>
    <w:p w:rsidR="00F71AD2" w:rsidRDefault="00F71AD2" w:rsidP="00F71A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42DE6" w:rsidRDefault="00ED104A"/>
    <w:sectPr w:rsidR="0024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39C4"/>
    <w:multiLevelType w:val="multilevel"/>
    <w:tmpl w:val="87E82F0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D369DF"/>
    <w:multiLevelType w:val="multilevel"/>
    <w:tmpl w:val="A31C11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8224A3"/>
    <w:multiLevelType w:val="multilevel"/>
    <w:tmpl w:val="91FAC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5E7125"/>
    <w:multiLevelType w:val="hybridMultilevel"/>
    <w:tmpl w:val="84787356"/>
    <w:lvl w:ilvl="0" w:tplc="1460EF2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F1C30"/>
    <w:multiLevelType w:val="multilevel"/>
    <w:tmpl w:val="351E36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0270EE"/>
    <w:multiLevelType w:val="multilevel"/>
    <w:tmpl w:val="36F6F85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BF"/>
    <w:rsid w:val="00053251"/>
    <w:rsid w:val="00067450"/>
    <w:rsid w:val="000E6B28"/>
    <w:rsid w:val="001C7A07"/>
    <w:rsid w:val="002A1AB1"/>
    <w:rsid w:val="002C5AAB"/>
    <w:rsid w:val="00357359"/>
    <w:rsid w:val="003A5CE7"/>
    <w:rsid w:val="0046017E"/>
    <w:rsid w:val="004675BE"/>
    <w:rsid w:val="004C4789"/>
    <w:rsid w:val="0051376A"/>
    <w:rsid w:val="005B1E65"/>
    <w:rsid w:val="005D3324"/>
    <w:rsid w:val="005E4B7D"/>
    <w:rsid w:val="00667EBF"/>
    <w:rsid w:val="00672C13"/>
    <w:rsid w:val="007009EB"/>
    <w:rsid w:val="007568B9"/>
    <w:rsid w:val="007C6AC5"/>
    <w:rsid w:val="007D2938"/>
    <w:rsid w:val="00866E2D"/>
    <w:rsid w:val="0091579F"/>
    <w:rsid w:val="00930931"/>
    <w:rsid w:val="00A42B64"/>
    <w:rsid w:val="00AB509A"/>
    <w:rsid w:val="00B34FF5"/>
    <w:rsid w:val="00BC463E"/>
    <w:rsid w:val="00C112E3"/>
    <w:rsid w:val="00C13549"/>
    <w:rsid w:val="00C13E72"/>
    <w:rsid w:val="00C632D3"/>
    <w:rsid w:val="00C77CF7"/>
    <w:rsid w:val="00CE559C"/>
    <w:rsid w:val="00D21801"/>
    <w:rsid w:val="00DC3D61"/>
    <w:rsid w:val="00E67D01"/>
    <w:rsid w:val="00EA54F5"/>
    <w:rsid w:val="00ED104A"/>
    <w:rsid w:val="00F25F74"/>
    <w:rsid w:val="00F71AD2"/>
    <w:rsid w:val="00FA56B6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DEA52-269C-4CE8-871C-84C17A03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8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20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88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4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9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64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4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6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2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7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50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0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97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85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41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1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Eapen</dc:creator>
  <cp:lastModifiedBy>Jacob</cp:lastModifiedBy>
  <cp:revision>5</cp:revision>
  <cp:lastPrinted>2019-11-06T18:16:00Z</cp:lastPrinted>
  <dcterms:created xsi:type="dcterms:W3CDTF">2020-06-02T16:50:00Z</dcterms:created>
  <dcterms:modified xsi:type="dcterms:W3CDTF">2020-06-02T16:54:00Z</dcterms:modified>
</cp:coreProperties>
</file>