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B3BEA3" w14:textId="3CECE58A" w:rsidR="00C82471" w:rsidRPr="00C82471" w:rsidRDefault="00C82471" w:rsidP="002855F3">
      <w:pPr>
        <w:spacing w:line="240" w:lineRule="auto"/>
        <w:jc w:val="both"/>
        <w:rPr>
          <w:rFonts w:ascii="Times New Roman" w:hAnsi="Times New Roman" w:cs="Times New Roman"/>
          <w:color w:val="156082" w:themeColor="accent1"/>
          <w:shd w:val="clear" w:color="auto" w:fill="FFFFFF"/>
        </w:rPr>
      </w:pPr>
      <w:r>
        <w:rPr>
          <w:rFonts w:ascii="Times New Roman" w:hAnsi="Times New Roman" w:cs="Times New Roman"/>
          <w:color w:val="156082" w:themeColor="accent1"/>
          <w:shd w:val="clear" w:color="auto" w:fill="FFFFFF"/>
        </w:rPr>
        <w:t xml:space="preserve">We thank the reviewers for the additional comments. All comments have been addressed below and a corresponding edit has been made in the manuscript. </w:t>
      </w:r>
    </w:p>
    <w:p w14:paraId="30976990" w14:textId="77777777" w:rsidR="00C82471" w:rsidRDefault="00C82471" w:rsidP="002855F3">
      <w:pPr>
        <w:spacing w:line="240" w:lineRule="auto"/>
        <w:jc w:val="both"/>
        <w:rPr>
          <w:rFonts w:ascii="Times New Roman" w:hAnsi="Times New Roman" w:cs="Times New Roman"/>
          <w:color w:val="222222"/>
          <w:shd w:val="clear" w:color="auto" w:fill="FFFFFF"/>
        </w:rPr>
      </w:pPr>
    </w:p>
    <w:p w14:paraId="44DC6AC9" w14:textId="47A56EC5" w:rsidR="002855F3" w:rsidRDefault="002855F3" w:rsidP="002855F3">
      <w:pPr>
        <w:spacing w:line="240" w:lineRule="auto"/>
        <w:jc w:val="both"/>
        <w:rPr>
          <w:rFonts w:ascii="Times New Roman" w:hAnsi="Times New Roman" w:cs="Times New Roman"/>
          <w:color w:val="222222"/>
          <w:shd w:val="clear" w:color="auto" w:fill="FFFFFF"/>
        </w:rPr>
      </w:pPr>
      <w:r w:rsidRPr="002855F3">
        <w:rPr>
          <w:rFonts w:ascii="Times New Roman" w:hAnsi="Times New Roman" w:cs="Times New Roman"/>
          <w:color w:val="222222"/>
          <w:shd w:val="clear" w:color="auto" w:fill="FFFFFF"/>
        </w:rPr>
        <w:t>Reviewer #1: The Authors have answered most of my comments rather satisfactorily, the most important one, also raised by the other reviewer, being not to overextend conclusions drawn on surfaces to grain boundaries. In my opinion, there is still something that deserves to be reworked, in the last paragraph of page 15 of revised version with marked comments.</w:t>
      </w:r>
    </w:p>
    <w:p w14:paraId="44615089" w14:textId="77777777" w:rsidR="002855F3" w:rsidRDefault="002855F3" w:rsidP="002855F3">
      <w:pPr>
        <w:spacing w:line="240" w:lineRule="auto"/>
        <w:jc w:val="both"/>
        <w:rPr>
          <w:rFonts w:ascii="Times New Roman" w:hAnsi="Times New Roman" w:cs="Times New Roman"/>
          <w:color w:val="222222"/>
          <w:shd w:val="clear" w:color="auto" w:fill="FFFFFF"/>
        </w:rPr>
      </w:pPr>
      <w:r w:rsidRPr="002855F3">
        <w:rPr>
          <w:rFonts w:ascii="Times New Roman" w:hAnsi="Times New Roman" w:cs="Times New Roman"/>
          <w:color w:val="222222"/>
        </w:rPr>
        <w:br/>
      </w:r>
      <w:r w:rsidRPr="002855F3">
        <w:rPr>
          <w:rFonts w:ascii="Times New Roman" w:hAnsi="Times New Roman" w:cs="Times New Roman"/>
          <w:color w:val="222222"/>
        </w:rPr>
        <w:br/>
      </w:r>
      <w:r w:rsidRPr="002855F3">
        <w:rPr>
          <w:rFonts w:ascii="Times New Roman" w:hAnsi="Times New Roman" w:cs="Times New Roman"/>
          <w:color w:val="222222"/>
          <w:shd w:val="clear" w:color="auto" w:fill="FFFFFF"/>
        </w:rPr>
        <w:t>"It is important to note that the relatively high migration barriers for vacancy-solute exchange, reported in Table 3, do not contradict the observation that these solutes diffuse faster than Fe. This enhanced diffusion can be primarily attributed to the kinetic effect of strong vacancy drag, arising from the substantial attractive binding energies between solutes and vacancies. We note that, in principle, the same strong binding could also increase the local vacancy concentration around the solute, providing an additional thermodynamic enhancement of diffusion. However, this effect is not captured in the present work, where only single solutes and single vacancies are considered. To address this thermodynamic effect, future studies are encouraged to consider clusters containing multiple vacancies around a single solute."</w:t>
      </w:r>
    </w:p>
    <w:p w14:paraId="248C6F0D" w14:textId="77777777" w:rsidR="002855F3" w:rsidRDefault="002855F3" w:rsidP="002855F3">
      <w:pPr>
        <w:spacing w:line="240" w:lineRule="auto"/>
        <w:jc w:val="both"/>
        <w:rPr>
          <w:rFonts w:ascii="Times New Roman" w:hAnsi="Times New Roman" w:cs="Times New Roman"/>
          <w:color w:val="222222"/>
          <w:shd w:val="clear" w:color="auto" w:fill="FFFFFF"/>
        </w:rPr>
      </w:pPr>
      <w:r w:rsidRPr="002855F3">
        <w:rPr>
          <w:rFonts w:ascii="Times New Roman" w:hAnsi="Times New Roman" w:cs="Times New Roman"/>
          <w:color w:val="222222"/>
        </w:rPr>
        <w:br/>
      </w:r>
      <w:r w:rsidRPr="002855F3">
        <w:rPr>
          <w:rFonts w:ascii="Times New Roman" w:hAnsi="Times New Roman" w:cs="Times New Roman"/>
          <w:color w:val="222222"/>
        </w:rPr>
        <w:br/>
      </w:r>
      <w:r w:rsidRPr="002855F3">
        <w:rPr>
          <w:rFonts w:ascii="Times New Roman" w:hAnsi="Times New Roman" w:cs="Times New Roman"/>
          <w:color w:val="222222"/>
          <w:shd w:val="clear" w:color="auto" w:fill="FFFFFF"/>
        </w:rPr>
        <w:t xml:space="preserve">First of all, as already pointed out in my comment #14 of the initial revision, there are no vacancy-solute exchanges in Table 3, so the beginning of the sentence must be changed. Moreover, one cannot explain high diffusivity by drag because both drag and diffusivity arise from the same atomistic mechanisms. For a given solute diffusivity value, having drag or not tells us if vacancy and solute diffuse together, or by series of association/dissociation mechanisms. The beginning of the paragraph implies that high migration barriers would lead to slow diffusivity, but that is only partly true: I tried to make this point in my comment #15 but admittedly, my wording was confusing. </w:t>
      </w:r>
      <w:proofErr w:type="gramStart"/>
      <w:r w:rsidRPr="002855F3">
        <w:rPr>
          <w:rFonts w:ascii="Times New Roman" w:hAnsi="Times New Roman" w:cs="Times New Roman"/>
          <w:color w:val="222222"/>
          <w:shd w:val="clear" w:color="auto" w:fill="FFFFFF"/>
        </w:rPr>
        <w:t>So</w:t>
      </w:r>
      <w:proofErr w:type="gramEnd"/>
      <w:r w:rsidRPr="002855F3">
        <w:rPr>
          <w:rFonts w:ascii="Times New Roman" w:hAnsi="Times New Roman" w:cs="Times New Roman"/>
          <w:color w:val="222222"/>
          <w:shd w:val="clear" w:color="auto" w:fill="FFFFFF"/>
        </w:rPr>
        <w:t xml:space="preserve"> when I mentioned "the number of vacancies around the solute" I was thinking in terms of average over the solute population, and I did not mean multiple vacancies around a single solute. For Fe atoms, the probability to find a vacancy near a tracer atom is the exponential of the formation energy over </w:t>
      </w:r>
      <w:proofErr w:type="spellStart"/>
      <w:r w:rsidRPr="002855F3">
        <w:rPr>
          <w:rFonts w:ascii="Times New Roman" w:hAnsi="Times New Roman" w:cs="Times New Roman"/>
          <w:color w:val="222222"/>
          <w:shd w:val="clear" w:color="auto" w:fill="FFFFFF"/>
        </w:rPr>
        <w:t>kT</w:t>
      </w:r>
      <w:proofErr w:type="spellEnd"/>
      <w:r w:rsidRPr="002855F3">
        <w:rPr>
          <w:rFonts w:ascii="Times New Roman" w:hAnsi="Times New Roman" w:cs="Times New Roman"/>
          <w:color w:val="222222"/>
          <w:shd w:val="clear" w:color="auto" w:fill="FFFFFF"/>
        </w:rPr>
        <w:t xml:space="preserve">, and the Fe self-diffusivity is directly proportional to that. For a solute, it is that same exponential multiplied by the pair partition function, in other word exponential of (effective) binding energy over </w:t>
      </w:r>
      <w:proofErr w:type="spellStart"/>
      <w:r w:rsidRPr="002855F3">
        <w:rPr>
          <w:rFonts w:ascii="Times New Roman" w:hAnsi="Times New Roman" w:cs="Times New Roman"/>
          <w:color w:val="222222"/>
          <w:shd w:val="clear" w:color="auto" w:fill="FFFFFF"/>
        </w:rPr>
        <w:t>kT.</w:t>
      </w:r>
      <w:proofErr w:type="spellEnd"/>
      <w:r w:rsidRPr="002855F3">
        <w:rPr>
          <w:rFonts w:ascii="Times New Roman" w:hAnsi="Times New Roman" w:cs="Times New Roman"/>
          <w:color w:val="222222"/>
          <w:shd w:val="clear" w:color="auto" w:fill="FFFFFF"/>
        </w:rPr>
        <w:t xml:space="preserve"> This appears very clearly in the formalism when computing f_{VB} from Eq. 3. The purely kinetic part (cluster transport coefficients, outputs of the </w:t>
      </w:r>
      <w:proofErr w:type="spellStart"/>
      <w:r w:rsidRPr="002855F3">
        <w:rPr>
          <w:rFonts w:ascii="Times New Roman" w:hAnsi="Times New Roman" w:cs="Times New Roman"/>
          <w:color w:val="222222"/>
          <w:shd w:val="clear" w:color="auto" w:fill="FFFFFF"/>
        </w:rPr>
        <w:t>KineCluE</w:t>
      </w:r>
      <w:proofErr w:type="spellEnd"/>
      <w:r w:rsidRPr="002855F3">
        <w:rPr>
          <w:rFonts w:ascii="Times New Roman" w:hAnsi="Times New Roman" w:cs="Times New Roman"/>
          <w:color w:val="222222"/>
          <w:shd w:val="clear" w:color="auto" w:fill="FFFFFF"/>
        </w:rPr>
        <w:t xml:space="preserve"> code) that would determine if drag arises or not, depend (roughly) on migration barriers, and as suggested in the first sentence of that paragraph, they should be lower than that of the vacancy-Fe tracer pair. Yet, when computing the solute diffusivity this quantity is multiplied by the partition function which is huge due to the high binding energy. Because of that, vacancies spend much more time around solutes than around Fe tracer atoms, and this thermodynamic effect counterbalances the slow cluster transport coefficient, hence the high diffusivity. Hopefully this is understandable, and the Authors can revise the aforementioned paragraph to provide a more detailed explanation for high solute diffusivity compared with Fe self-diffusivity.</w:t>
      </w:r>
    </w:p>
    <w:p w14:paraId="2515FD83" w14:textId="559FA27B" w:rsidR="00A42E79" w:rsidRDefault="002855F3" w:rsidP="002855F3">
      <w:pPr>
        <w:spacing w:line="240" w:lineRule="auto"/>
        <w:jc w:val="both"/>
        <w:rPr>
          <w:rFonts w:ascii="Times New Roman" w:hAnsi="Times New Roman" w:cs="Times New Roman"/>
          <w:color w:val="156082" w:themeColor="accent1"/>
        </w:rPr>
      </w:pPr>
      <w:r w:rsidRPr="002855F3">
        <w:rPr>
          <w:rFonts w:ascii="Times New Roman" w:hAnsi="Times New Roman" w:cs="Times New Roman"/>
          <w:color w:val="222222"/>
        </w:rPr>
        <w:br/>
      </w:r>
      <w:r w:rsidR="00A42E79">
        <w:rPr>
          <w:rFonts w:ascii="Times New Roman" w:hAnsi="Times New Roman" w:cs="Times New Roman"/>
          <w:color w:val="156082" w:themeColor="accent1"/>
        </w:rPr>
        <w:t xml:space="preserve">Thanks for pointing this out and for your patience, you are correct that no vacancy-solute exchange barriers are listed in table 3. We also thank the reviewer for more fully explaining their prior point, which we fully agree with. A brief discussion has been included, revising the paragraph of note, </w:t>
      </w:r>
      <w:r w:rsidR="00A42E79">
        <w:rPr>
          <w:rFonts w:ascii="Times New Roman" w:hAnsi="Times New Roman" w:cs="Times New Roman"/>
          <w:color w:val="156082" w:themeColor="accent1"/>
        </w:rPr>
        <w:lastRenderedPageBreak/>
        <w:t xml:space="preserve">which hopefully addresses this point. The included paragraph is below. </w:t>
      </w:r>
      <w:r w:rsidR="00E041A3">
        <w:rPr>
          <w:rFonts w:ascii="Times New Roman" w:hAnsi="Times New Roman" w:cs="Times New Roman"/>
          <w:color w:val="156082" w:themeColor="accent1"/>
        </w:rPr>
        <w:t xml:space="preserve">Surrounding text has been slightly modified to ensure continuity of thought within this section. </w:t>
      </w:r>
    </w:p>
    <w:p w14:paraId="04C823E1" w14:textId="77777777" w:rsidR="00A42E79" w:rsidRDefault="00A42E79" w:rsidP="002855F3">
      <w:pPr>
        <w:spacing w:line="240" w:lineRule="auto"/>
        <w:jc w:val="both"/>
        <w:rPr>
          <w:rFonts w:ascii="Times New Roman" w:hAnsi="Times New Roman" w:cs="Times New Roman"/>
          <w:color w:val="156082" w:themeColor="accent1"/>
        </w:rPr>
      </w:pPr>
    </w:p>
    <w:p w14:paraId="475F0ECB" w14:textId="77777777" w:rsidR="005E240F" w:rsidRDefault="005E240F" w:rsidP="002855F3">
      <w:pPr>
        <w:spacing w:line="240" w:lineRule="auto"/>
        <w:jc w:val="both"/>
        <w:rPr>
          <w:rFonts w:ascii="Times New Roman" w:hAnsi="Times New Roman" w:cs="Times New Roman"/>
          <w:color w:val="EE0000"/>
        </w:rPr>
      </w:pPr>
    </w:p>
    <w:p w14:paraId="10420D75" w14:textId="0E96A366" w:rsidR="005E240F" w:rsidRPr="005E240F" w:rsidRDefault="005E240F" w:rsidP="002855F3">
      <w:pPr>
        <w:spacing w:line="240" w:lineRule="auto"/>
        <w:jc w:val="both"/>
        <w:rPr>
          <w:rFonts w:ascii="Times New Roman" w:hAnsi="Times New Roman" w:cs="Times New Roman"/>
          <w:color w:val="156082" w:themeColor="accent1"/>
        </w:rPr>
      </w:pPr>
      <w:r>
        <w:rPr>
          <w:rFonts w:ascii="Times New Roman" w:hAnsi="Times New Roman" w:cs="Times New Roman"/>
          <w:color w:val="156082" w:themeColor="accent1"/>
        </w:rPr>
        <w:t>“</w:t>
      </w:r>
      <w:r w:rsidRPr="005E240F">
        <w:rPr>
          <w:rFonts w:ascii="Times New Roman" w:hAnsi="Times New Roman" w:cs="Times New Roman"/>
          <w:color w:val="156082" w:themeColor="accent1"/>
        </w:rPr>
        <w:t xml:space="preserve">This enhanced diffusion of solutes over Fe can be primarily attributed to the substantial attractive binding energies between solutes and vacancies. For Fe atoms, the probability to find a vacancy near a tracer atom is proportional to an Arrhenius term of the formation energy, which the Fe self-diffusivity is directly proportional to. For the solute atoms, this Arrhenius term is modified by the binding energy in the form of the partition function. Thus, due to the strong binding of vacancies to the solute atoms (see </w:t>
      </w:r>
      <w:r w:rsidRPr="005E240F">
        <w:rPr>
          <w:rFonts w:ascii="Times New Roman" w:hAnsi="Times New Roman" w:cs="Times New Roman"/>
          <w:color w:val="156082" w:themeColor="accent1"/>
        </w:rPr>
        <w:t>Figure 1</w:t>
      </w:r>
      <w:r w:rsidRPr="005E240F">
        <w:rPr>
          <w:rFonts w:ascii="Times New Roman" w:hAnsi="Times New Roman" w:cs="Times New Roman"/>
          <w:color w:val="156082" w:themeColor="accent1"/>
        </w:rPr>
        <w:t xml:space="preserve"> and </w:t>
      </w:r>
      <w:r w:rsidRPr="005E240F">
        <w:rPr>
          <w:rFonts w:ascii="Times New Roman" w:hAnsi="Times New Roman" w:cs="Times New Roman"/>
          <w:color w:val="156082" w:themeColor="accent1"/>
        </w:rPr>
        <w:t>Table 2</w:t>
      </w:r>
      <w:r w:rsidRPr="005E240F">
        <w:rPr>
          <w:rFonts w:ascii="Times New Roman" w:hAnsi="Times New Roman" w:cs="Times New Roman"/>
          <w:color w:val="156082" w:themeColor="accent1"/>
        </w:rPr>
        <w:t>), solute diffusivity is enhanced relative to the matrix Fe species.</w:t>
      </w:r>
      <w:r>
        <w:rPr>
          <w:rFonts w:ascii="Times New Roman" w:hAnsi="Times New Roman" w:cs="Times New Roman"/>
          <w:color w:val="156082" w:themeColor="accent1"/>
        </w:rPr>
        <w:t>”</w:t>
      </w:r>
    </w:p>
    <w:p w14:paraId="4FDBCD32" w14:textId="3493CC6B" w:rsidR="002855F3" w:rsidRDefault="002855F3" w:rsidP="002855F3">
      <w:pPr>
        <w:spacing w:line="240" w:lineRule="auto"/>
        <w:jc w:val="both"/>
        <w:rPr>
          <w:rFonts w:ascii="Times New Roman" w:hAnsi="Times New Roman" w:cs="Times New Roman"/>
          <w:color w:val="222222"/>
          <w:shd w:val="clear" w:color="auto" w:fill="FFFFFF"/>
        </w:rPr>
      </w:pPr>
      <w:r w:rsidRPr="002855F3">
        <w:rPr>
          <w:rFonts w:ascii="Times New Roman" w:hAnsi="Times New Roman" w:cs="Times New Roman"/>
          <w:color w:val="222222"/>
        </w:rPr>
        <w:br/>
      </w:r>
      <w:r w:rsidRPr="002855F3">
        <w:rPr>
          <w:rFonts w:ascii="Times New Roman" w:hAnsi="Times New Roman" w:cs="Times New Roman"/>
          <w:color w:val="222222"/>
        </w:rPr>
        <w:br/>
      </w:r>
      <w:r w:rsidRPr="002855F3">
        <w:rPr>
          <w:rFonts w:ascii="Times New Roman" w:hAnsi="Times New Roman" w:cs="Times New Roman"/>
          <w:color w:val="222222"/>
          <w:shd w:val="clear" w:color="auto" w:fill="FFFFFF"/>
        </w:rPr>
        <w:t>Reviewer #2: The article provides a computational study on vacancy-mediated diffusion of single Ce, Nd, U, and Pu in bulk and on the (110) surface of bcc-Fe with the goal of contributing data for a multiscale FCCI-model.</w:t>
      </w:r>
    </w:p>
    <w:p w14:paraId="63CFA0A3" w14:textId="77777777" w:rsidR="002855F3" w:rsidRDefault="002855F3" w:rsidP="002855F3">
      <w:pPr>
        <w:spacing w:line="240" w:lineRule="auto"/>
        <w:jc w:val="both"/>
        <w:rPr>
          <w:rFonts w:ascii="Times New Roman" w:hAnsi="Times New Roman" w:cs="Times New Roman"/>
          <w:color w:val="222222"/>
          <w:shd w:val="clear" w:color="auto" w:fill="FFFFFF"/>
        </w:rPr>
      </w:pPr>
      <w:r w:rsidRPr="002855F3">
        <w:rPr>
          <w:rFonts w:ascii="Times New Roman" w:hAnsi="Times New Roman" w:cs="Times New Roman"/>
          <w:color w:val="222222"/>
        </w:rPr>
        <w:br/>
      </w:r>
      <w:r w:rsidRPr="002855F3">
        <w:rPr>
          <w:rFonts w:ascii="Times New Roman" w:hAnsi="Times New Roman" w:cs="Times New Roman"/>
          <w:color w:val="222222"/>
          <w:shd w:val="clear" w:color="auto" w:fill="FFFFFF"/>
        </w:rPr>
        <w:t xml:space="preserve">The authors calculate an extensive list of vacancy diffusion barriers using GGA-DFT with NEB and use subsequently the software </w:t>
      </w:r>
      <w:proofErr w:type="spellStart"/>
      <w:r w:rsidRPr="002855F3">
        <w:rPr>
          <w:rFonts w:ascii="Times New Roman" w:hAnsi="Times New Roman" w:cs="Times New Roman"/>
          <w:color w:val="222222"/>
          <w:shd w:val="clear" w:color="auto" w:fill="FFFFFF"/>
        </w:rPr>
        <w:t>KineClue</w:t>
      </w:r>
      <w:proofErr w:type="spellEnd"/>
      <w:r w:rsidRPr="002855F3">
        <w:rPr>
          <w:rFonts w:ascii="Times New Roman" w:hAnsi="Times New Roman" w:cs="Times New Roman"/>
          <w:color w:val="222222"/>
          <w:shd w:val="clear" w:color="auto" w:fill="FFFFFF"/>
        </w:rPr>
        <w:t xml:space="preserve"> to calculate an averaged diffusion coefficient within an SCMF framework. The work is well structured and positioned within existing literature. The comments from the previous round of review have been included and the manuscript has strongly improved. I have a few minor points that mainly pertain to formulations and structuring that could contribute to the overall structure:</w:t>
      </w:r>
    </w:p>
    <w:p w14:paraId="0936BF84" w14:textId="77777777" w:rsidR="002855F3" w:rsidRDefault="002855F3" w:rsidP="002855F3">
      <w:pPr>
        <w:spacing w:line="240" w:lineRule="auto"/>
        <w:jc w:val="both"/>
        <w:rPr>
          <w:rFonts w:ascii="Times New Roman" w:hAnsi="Times New Roman" w:cs="Times New Roman"/>
          <w:color w:val="222222"/>
          <w:shd w:val="clear" w:color="auto" w:fill="FFFFFF"/>
        </w:rPr>
      </w:pPr>
      <w:r w:rsidRPr="002855F3">
        <w:rPr>
          <w:rFonts w:ascii="Times New Roman" w:hAnsi="Times New Roman" w:cs="Times New Roman"/>
          <w:color w:val="222222"/>
        </w:rPr>
        <w:br/>
      </w:r>
      <w:r w:rsidRPr="002855F3">
        <w:rPr>
          <w:rFonts w:ascii="Times New Roman" w:hAnsi="Times New Roman" w:cs="Times New Roman"/>
          <w:color w:val="222222"/>
        </w:rPr>
        <w:br/>
      </w:r>
      <w:r w:rsidRPr="002855F3">
        <w:rPr>
          <w:rFonts w:ascii="Times New Roman" w:hAnsi="Times New Roman" w:cs="Times New Roman"/>
          <w:color w:val="222222"/>
          <w:shd w:val="clear" w:color="auto" w:fill="FFFFFF"/>
        </w:rPr>
        <w:t>1) It is mentioned multiple times that GBs are considered as "fast diffusion pathways". However, I am not sure if this is a universally true statement. Looking at Refs. 85 and 86, it seems to depend on the GB structure and dopant concentration. Some clarification on the generalization of that statement could help.</w:t>
      </w:r>
    </w:p>
    <w:p w14:paraId="4A587B0E" w14:textId="77777777" w:rsidR="00A42E79" w:rsidRDefault="00A42E79" w:rsidP="002855F3">
      <w:pPr>
        <w:spacing w:line="240" w:lineRule="auto"/>
        <w:jc w:val="both"/>
        <w:rPr>
          <w:rFonts w:ascii="Times New Roman" w:hAnsi="Times New Roman" w:cs="Times New Roman"/>
          <w:color w:val="222222"/>
        </w:rPr>
      </w:pPr>
    </w:p>
    <w:p w14:paraId="3F61D1A7" w14:textId="763DE618" w:rsidR="00C20EAA" w:rsidRPr="000E0C9A" w:rsidRDefault="00C20EAA" w:rsidP="002855F3">
      <w:pPr>
        <w:spacing w:line="240" w:lineRule="auto"/>
        <w:jc w:val="both"/>
        <w:rPr>
          <w:rFonts w:ascii="Times New Roman" w:hAnsi="Times New Roman" w:cs="Times New Roman"/>
          <w:color w:val="156082" w:themeColor="accent1"/>
        </w:rPr>
      </w:pPr>
      <w:r w:rsidRPr="000E0C9A">
        <w:rPr>
          <w:rFonts w:ascii="Times New Roman" w:hAnsi="Times New Roman" w:cs="Times New Roman"/>
          <w:color w:val="156082" w:themeColor="accent1"/>
        </w:rPr>
        <w:t xml:space="preserve">We thank the reviewer for this nuanced point. Yes, different grain boundaries will possess different diffusivities. Generally, these diffusivities will still be faster than bulk diffusion, and thus their classification as “fast diffusion pathways”. </w:t>
      </w:r>
      <w:r w:rsidR="000E0C9A" w:rsidRPr="000E0C9A">
        <w:rPr>
          <w:rFonts w:ascii="Times New Roman" w:hAnsi="Times New Roman" w:cs="Times New Roman"/>
          <w:color w:val="156082" w:themeColor="accent1"/>
        </w:rPr>
        <w:t xml:space="preserve">Language has been added in </w:t>
      </w:r>
      <w:r w:rsidR="00F650BD">
        <w:rPr>
          <w:rFonts w:ascii="Times New Roman" w:hAnsi="Times New Roman" w:cs="Times New Roman"/>
          <w:color w:val="156082" w:themeColor="accent1"/>
        </w:rPr>
        <w:t>the discussion</w:t>
      </w:r>
      <w:r w:rsidR="000E0C9A" w:rsidRPr="000E0C9A">
        <w:rPr>
          <w:rFonts w:ascii="Times New Roman" w:hAnsi="Times New Roman" w:cs="Times New Roman"/>
          <w:color w:val="156082" w:themeColor="accent1"/>
        </w:rPr>
        <w:t xml:space="preserve"> to further clarify and contextualize this point and the justification for the utilized language. </w:t>
      </w:r>
    </w:p>
    <w:p w14:paraId="7E68667C" w14:textId="77777777" w:rsidR="00C20EAA" w:rsidRDefault="00C20EAA" w:rsidP="002855F3">
      <w:pPr>
        <w:spacing w:line="240" w:lineRule="auto"/>
        <w:jc w:val="both"/>
        <w:rPr>
          <w:rFonts w:ascii="Times New Roman" w:hAnsi="Times New Roman" w:cs="Times New Roman"/>
          <w:color w:val="EE0000"/>
        </w:rPr>
      </w:pPr>
    </w:p>
    <w:p w14:paraId="731C11BF" w14:textId="4EC7182D" w:rsidR="002855F3" w:rsidRDefault="002855F3" w:rsidP="002855F3">
      <w:pPr>
        <w:spacing w:line="240" w:lineRule="auto"/>
        <w:jc w:val="both"/>
        <w:rPr>
          <w:rFonts w:ascii="Times New Roman" w:hAnsi="Times New Roman" w:cs="Times New Roman"/>
          <w:color w:val="222222"/>
          <w:shd w:val="clear" w:color="auto" w:fill="FFFFFF"/>
        </w:rPr>
      </w:pPr>
      <w:r w:rsidRPr="002855F3">
        <w:rPr>
          <w:rFonts w:ascii="Times New Roman" w:hAnsi="Times New Roman" w:cs="Times New Roman"/>
          <w:color w:val="222222"/>
          <w:shd w:val="clear" w:color="auto" w:fill="FFFFFF"/>
        </w:rPr>
        <w:t>2) At the beginning of Sec. 4.2 it is mentioned "To evaluate our hypothesis that vacancy-mediated surface diffusivity is comparable to GB diffusivity…" This seems a bit far-fetched given the adaptations from the last round of reviews. A more nuanced formulation would be more in line with the rest of the manuscript.</w:t>
      </w:r>
    </w:p>
    <w:p w14:paraId="5711DAD4" w14:textId="55FF7479" w:rsidR="00A42E79" w:rsidRDefault="00A42E79" w:rsidP="002855F3">
      <w:pPr>
        <w:spacing w:line="240" w:lineRule="auto"/>
        <w:jc w:val="both"/>
        <w:rPr>
          <w:rFonts w:ascii="Times New Roman" w:hAnsi="Times New Roman" w:cs="Times New Roman"/>
          <w:color w:val="EE0000"/>
        </w:rPr>
      </w:pPr>
    </w:p>
    <w:p w14:paraId="1C6C8957" w14:textId="6F2D00B3" w:rsidR="000E0C9A" w:rsidRPr="000E0C9A" w:rsidRDefault="000E0C9A" w:rsidP="002855F3">
      <w:pPr>
        <w:spacing w:line="240" w:lineRule="auto"/>
        <w:jc w:val="both"/>
        <w:rPr>
          <w:rFonts w:ascii="Times New Roman" w:hAnsi="Times New Roman" w:cs="Times New Roman"/>
          <w:color w:val="156082" w:themeColor="accent1"/>
        </w:rPr>
      </w:pPr>
      <w:r w:rsidRPr="000E0C9A">
        <w:rPr>
          <w:rFonts w:ascii="Times New Roman" w:hAnsi="Times New Roman" w:cs="Times New Roman"/>
          <w:color w:val="156082" w:themeColor="accent1"/>
        </w:rPr>
        <w:t xml:space="preserve">We agree with the reviewer that this language needs to be modified. The editorializing has been removed. </w:t>
      </w:r>
    </w:p>
    <w:p w14:paraId="28563507" w14:textId="77777777" w:rsidR="00A42E79" w:rsidRPr="00A42E79" w:rsidRDefault="00A42E79" w:rsidP="002855F3">
      <w:pPr>
        <w:spacing w:line="240" w:lineRule="auto"/>
        <w:jc w:val="both"/>
        <w:rPr>
          <w:rFonts w:ascii="Times New Roman" w:hAnsi="Times New Roman" w:cs="Times New Roman"/>
          <w:color w:val="EE0000"/>
        </w:rPr>
      </w:pPr>
    </w:p>
    <w:p w14:paraId="6E8C98F2" w14:textId="09CF0C1E" w:rsidR="002855F3" w:rsidRDefault="002855F3" w:rsidP="002855F3">
      <w:pPr>
        <w:spacing w:line="240" w:lineRule="auto"/>
        <w:jc w:val="both"/>
        <w:rPr>
          <w:rFonts w:ascii="Times New Roman" w:hAnsi="Times New Roman" w:cs="Times New Roman"/>
          <w:color w:val="222222"/>
          <w:shd w:val="clear" w:color="auto" w:fill="FFFFFF"/>
        </w:rPr>
      </w:pPr>
      <w:r w:rsidRPr="002855F3">
        <w:rPr>
          <w:rFonts w:ascii="Times New Roman" w:hAnsi="Times New Roman" w:cs="Times New Roman"/>
          <w:color w:val="222222"/>
        </w:rPr>
        <w:br/>
      </w:r>
      <w:r w:rsidRPr="002855F3">
        <w:rPr>
          <w:rFonts w:ascii="Times New Roman" w:hAnsi="Times New Roman" w:cs="Times New Roman"/>
          <w:color w:val="222222"/>
          <w:shd w:val="clear" w:color="auto" w:fill="FFFFFF"/>
        </w:rPr>
        <w:t xml:space="preserve">3) Even though it might sound like nitpicking, the current description of the VASP pseudopotentials by their electron configuration is not unique, as over different versions of the </w:t>
      </w:r>
      <w:proofErr w:type="spellStart"/>
      <w:r w:rsidRPr="002855F3">
        <w:rPr>
          <w:rFonts w:ascii="Times New Roman" w:hAnsi="Times New Roman" w:cs="Times New Roman"/>
          <w:color w:val="222222"/>
          <w:shd w:val="clear" w:color="auto" w:fill="FFFFFF"/>
        </w:rPr>
        <w:lastRenderedPageBreak/>
        <w:t>potpaw</w:t>
      </w:r>
      <w:proofErr w:type="spellEnd"/>
      <w:r w:rsidRPr="002855F3">
        <w:rPr>
          <w:rFonts w:ascii="Times New Roman" w:hAnsi="Times New Roman" w:cs="Times New Roman"/>
          <w:color w:val="222222"/>
          <w:shd w:val="clear" w:color="auto" w:fill="FFFFFF"/>
        </w:rPr>
        <w:t xml:space="preserve"> potentials, they can still change. The name and release data of the potentials would be a better (and unique) identifier, i.e.</w:t>
      </w:r>
      <w:proofErr w:type="gramStart"/>
      <w:r w:rsidRPr="002855F3">
        <w:rPr>
          <w:rFonts w:ascii="Times New Roman" w:hAnsi="Times New Roman" w:cs="Times New Roman"/>
          <w:color w:val="222222"/>
          <w:shd w:val="clear" w:color="auto" w:fill="FFFFFF"/>
        </w:rPr>
        <w:t>, :</w:t>
      </w:r>
      <w:proofErr w:type="gramEnd"/>
      <w:r w:rsidRPr="002855F3">
        <w:rPr>
          <w:rFonts w:ascii="Times New Roman" w:hAnsi="Times New Roman" w:cs="Times New Roman"/>
          <w:color w:val="222222"/>
          <w:shd w:val="clear" w:color="auto" w:fill="FFFFFF"/>
        </w:rPr>
        <w:t xml:space="preserve"> PAW_PBE Pu 06Sep2000</w:t>
      </w:r>
    </w:p>
    <w:p w14:paraId="306DF400" w14:textId="77777777" w:rsidR="00A42E79" w:rsidRDefault="00A42E79" w:rsidP="002855F3">
      <w:pPr>
        <w:spacing w:line="240" w:lineRule="auto"/>
        <w:jc w:val="both"/>
        <w:rPr>
          <w:rFonts w:ascii="Times New Roman" w:hAnsi="Times New Roman" w:cs="Times New Roman"/>
          <w:color w:val="222222"/>
        </w:rPr>
      </w:pPr>
    </w:p>
    <w:p w14:paraId="1B9A02CD" w14:textId="77777777" w:rsidR="00F650BD" w:rsidRPr="00F650BD" w:rsidRDefault="00A42E79" w:rsidP="002855F3">
      <w:pPr>
        <w:spacing w:line="240" w:lineRule="auto"/>
        <w:jc w:val="both"/>
        <w:rPr>
          <w:rFonts w:ascii="Times New Roman" w:hAnsi="Times New Roman" w:cs="Times New Roman"/>
          <w:color w:val="156082" w:themeColor="accent1"/>
        </w:rPr>
      </w:pPr>
      <w:r w:rsidRPr="00F650BD">
        <w:rPr>
          <w:rFonts w:ascii="Times New Roman" w:hAnsi="Times New Roman" w:cs="Times New Roman"/>
          <w:color w:val="156082" w:themeColor="accent1"/>
        </w:rPr>
        <w:t>I believe that the utilized pseudopotentials are fully described by their valence, as in, no other dated versions are present. However, we agree with the reviewer in completeness, and have thus modified the PP naming convention.</w:t>
      </w:r>
    </w:p>
    <w:p w14:paraId="56008E68" w14:textId="49033877" w:rsidR="00425576" w:rsidRPr="00F650BD" w:rsidRDefault="002855F3" w:rsidP="002855F3">
      <w:pPr>
        <w:spacing w:line="240" w:lineRule="auto"/>
        <w:jc w:val="both"/>
        <w:rPr>
          <w:rFonts w:ascii="Times New Roman" w:hAnsi="Times New Roman" w:cs="Times New Roman"/>
          <w:color w:val="EE0000"/>
        </w:rPr>
      </w:pPr>
      <w:r w:rsidRPr="002855F3">
        <w:rPr>
          <w:rFonts w:ascii="Times New Roman" w:hAnsi="Times New Roman" w:cs="Times New Roman"/>
          <w:color w:val="222222"/>
        </w:rPr>
        <w:br/>
      </w:r>
      <w:r w:rsidRPr="002855F3">
        <w:rPr>
          <w:rFonts w:ascii="Times New Roman" w:hAnsi="Times New Roman" w:cs="Times New Roman"/>
          <w:color w:val="222222"/>
        </w:rPr>
        <w:br/>
      </w:r>
      <w:r w:rsidRPr="002855F3">
        <w:rPr>
          <w:rFonts w:ascii="Times New Roman" w:hAnsi="Times New Roman" w:cs="Times New Roman"/>
          <w:color w:val="222222"/>
          <w:shd w:val="clear" w:color="auto" w:fill="FFFFFF"/>
        </w:rPr>
        <w:t xml:space="preserve">4) On page 17, line 55f., it is discussed (again) why GBs were not modeled explicitly. This seems a bit odd here and disturbs the flow of reading as before you already discussed some results. I would move the whole discussion about which systems have been modeled (and why) to the methodology section or keep it concise at the beginning of Sec. 3.4. This discussion seems further to go a bit in a different direction than the discussion at the end of the introduction where it was mentioned "Direct modeling of grain boundary diffusion using DFT is computationally intensive due to the large supercells, complex atomic arrangements, and the need for extensive configurational sampling.", suggesting that it is computationally not feasible, contrary to here, where the focus lies on complications in the following. This makes the overall discussion seem rather apologetic, where a concise mentioning of it at one place would </w:t>
      </w:r>
      <w:proofErr w:type="spellStart"/>
      <w:r w:rsidRPr="002855F3">
        <w:rPr>
          <w:rFonts w:ascii="Times New Roman" w:hAnsi="Times New Roman" w:cs="Times New Roman"/>
          <w:color w:val="222222"/>
          <w:shd w:val="clear" w:color="auto" w:fill="FFFFFF"/>
        </w:rPr>
        <w:t>i.m.o</w:t>
      </w:r>
      <w:proofErr w:type="spellEnd"/>
      <w:r w:rsidRPr="002855F3">
        <w:rPr>
          <w:rFonts w:ascii="Times New Roman" w:hAnsi="Times New Roman" w:cs="Times New Roman"/>
          <w:color w:val="222222"/>
          <w:shd w:val="clear" w:color="auto" w:fill="FFFFFF"/>
        </w:rPr>
        <w:t>. suit the manuscript better.</w:t>
      </w:r>
    </w:p>
    <w:p w14:paraId="4F830615" w14:textId="77777777" w:rsidR="00A42E79" w:rsidRDefault="00A42E79" w:rsidP="002855F3">
      <w:pPr>
        <w:spacing w:line="240" w:lineRule="auto"/>
        <w:jc w:val="both"/>
        <w:rPr>
          <w:rFonts w:ascii="Times New Roman" w:hAnsi="Times New Roman" w:cs="Times New Roman"/>
          <w:color w:val="222222"/>
          <w:shd w:val="clear" w:color="auto" w:fill="FFFFFF"/>
        </w:rPr>
      </w:pPr>
    </w:p>
    <w:p w14:paraId="08E74C3A" w14:textId="0C968809" w:rsidR="00F650BD" w:rsidRPr="000976F1" w:rsidRDefault="00F650BD" w:rsidP="002855F3">
      <w:pPr>
        <w:spacing w:line="240" w:lineRule="auto"/>
        <w:jc w:val="both"/>
        <w:rPr>
          <w:rFonts w:ascii="Times New Roman" w:hAnsi="Times New Roman" w:cs="Times New Roman"/>
          <w:color w:val="156082" w:themeColor="accent1"/>
          <w:shd w:val="clear" w:color="auto" w:fill="FFFFFF"/>
        </w:rPr>
      </w:pPr>
      <w:r w:rsidRPr="000976F1">
        <w:rPr>
          <w:rFonts w:ascii="Times New Roman" w:hAnsi="Times New Roman" w:cs="Times New Roman"/>
          <w:color w:val="156082" w:themeColor="accent1"/>
          <w:shd w:val="clear" w:color="auto" w:fill="FFFFFF"/>
        </w:rPr>
        <w:t xml:space="preserve">The reviewer is correct that this paragraph </w:t>
      </w:r>
      <w:r w:rsidR="000976F1" w:rsidRPr="000976F1">
        <w:rPr>
          <w:rFonts w:ascii="Times New Roman" w:hAnsi="Times New Roman" w:cs="Times New Roman"/>
          <w:color w:val="156082" w:themeColor="accent1"/>
          <w:shd w:val="clear" w:color="auto" w:fill="FFFFFF"/>
        </w:rPr>
        <w:t xml:space="preserve">felt out of place. Also, the way in which this paragraph was worded made it seem distinct from the language in the introduction, rather than a clarification and restatement. This paragraph has been modified and moved to the discussion section to reinforce the context around the choice of studying surfaces. </w:t>
      </w:r>
    </w:p>
    <w:p w14:paraId="42071693" w14:textId="77777777" w:rsidR="00A42E79" w:rsidRPr="00A42E79" w:rsidRDefault="00A42E79" w:rsidP="002855F3">
      <w:pPr>
        <w:spacing w:line="240" w:lineRule="auto"/>
        <w:jc w:val="both"/>
        <w:rPr>
          <w:rFonts w:ascii="Times New Roman" w:hAnsi="Times New Roman" w:cs="Times New Roman"/>
          <w:color w:val="EE0000"/>
        </w:rPr>
      </w:pPr>
    </w:p>
    <w:sectPr w:rsidR="00A42E79" w:rsidRPr="00A42E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5F3"/>
    <w:rsid w:val="00060430"/>
    <w:rsid w:val="000976F1"/>
    <w:rsid w:val="000E0C9A"/>
    <w:rsid w:val="00202027"/>
    <w:rsid w:val="00273C93"/>
    <w:rsid w:val="002855F3"/>
    <w:rsid w:val="002D2075"/>
    <w:rsid w:val="00322835"/>
    <w:rsid w:val="004247DF"/>
    <w:rsid w:val="00425576"/>
    <w:rsid w:val="005E240F"/>
    <w:rsid w:val="006F460A"/>
    <w:rsid w:val="00701A5B"/>
    <w:rsid w:val="0093521C"/>
    <w:rsid w:val="00941D68"/>
    <w:rsid w:val="00995C5A"/>
    <w:rsid w:val="00A42E79"/>
    <w:rsid w:val="00B13408"/>
    <w:rsid w:val="00B6732B"/>
    <w:rsid w:val="00C20EAA"/>
    <w:rsid w:val="00C82471"/>
    <w:rsid w:val="00E041A3"/>
    <w:rsid w:val="00E33B8D"/>
    <w:rsid w:val="00EC2EF9"/>
    <w:rsid w:val="00F650BD"/>
    <w:rsid w:val="00F805AF"/>
    <w:rsid w:val="00FF6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B1140F"/>
  <w15:chartTrackingRefBased/>
  <w15:docId w15:val="{52B0346A-82FA-2C4A-87F6-4588B8966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55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55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55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55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55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55F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55F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55F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55F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autoRedefine/>
    <w:uiPriority w:val="35"/>
    <w:unhideWhenUsed/>
    <w:qFormat/>
    <w:rsid w:val="002D2075"/>
    <w:pPr>
      <w:spacing w:before="120" w:after="120" w:line="240" w:lineRule="auto"/>
      <w:ind w:firstLine="360"/>
      <w:jc w:val="center"/>
    </w:pPr>
    <w:rPr>
      <w:rFonts w:ascii="Times New Roman" w:eastAsia="Times New Roman" w:hAnsi="Times New Roman" w:cs="Times New Roman"/>
      <w:bCs/>
      <w:color w:val="000000" w:themeColor="text1"/>
      <w:sz w:val="22"/>
      <w:szCs w:val="18"/>
    </w:rPr>
  </w:style>
  <w:style w:type="character" w:customStyle="1" w:styleId="Heading1Char">
    <w:name w:val="Heading 1 Char"/>
    <w:basedOn w:val="DefaultParagraphFont"/>
    <w:link w:val="Heading1"/>
    <w:uiPriority w:val="9"/>
    <w:rsid w:val="002855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55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55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55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55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55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55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55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55F3"/>
    <w:rPr>
      <w:rFonts w:eastAsiaTheme="majorEastAsia" w:cstheme="majorBidi"/>
      <w:color w:val="272727" w:themeColor="text1" w:themeTint="D8"/>
    </w:rPr>
  </w:style>
  <w:style w:type="paragraph" w:styleId="Title">
    <w:name w:val="Title"/>
    <w:basedOn w:val="Normal"/>
    <w:next w:val="Normal"/>
    <w:link w:val="TitleChar"/>
    <w:uiPriority w:val="10"/>
    <w:qFormat/>
    <w:rsid w:val="002855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55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55F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55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55F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855F3"/>
    <w:rPr>
      <w:i/>
      <w:iCs/>
      <w:color w:val="404040" w:themeColor="text1" w:themeTint="BF"/>
    </w:rPr>
  </w:style>
  <w:style w:type="paragraph" w:styleId="ListParagraph">
    <w:name w:val="List Paragraph"/>
    <w:basedOn w:val="Normal"/>
    <w:uiPriority w:val="34"/>
    <w:qFormat/>
    <w:rsid w:val="002855F3"/>
    <w:pPr>
      <w:ind w:left="720"/>
      <w:contextualSpacing/>
    </w:pPr>
  </w:style>
  <w:style w:type="character" w:styleId="IntenseEmphasis">
    <w:name w:val="Intense Emphasis"/>
    <w:basedOn w:val="DefaultParagraphFont"/>
    <w:uiPriority w:val="21"/>
    <w:qFormat/>
    <w:rsid w:val="002855F3"/>
    <w:rPr>
      <w:i/>
      <w:iCs/>
      <w:color w:val="0F4761" w:themeColor="accent1" w:themeShade="BF"/>
    </w:rPr>
  </w:style>
  <w:style w:type="paragraph" w:styleId="IntenseQuote">
    <w:name w:val="Intense Quote"/>
    <w:basedOn w:val="Normal"/>
    <w:next w:val="Normal"/>
    <w:link w:val="IntenseQuoteChar"/>
    <w:uiPriority w:val="30"/>
    <w:qFormat/>
    <w:rsid w:val="002855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55F3"/>
    <w:rPr>
      <w:i/>
      <w:iCs/>
      <w:color w:val="0F4761" w:themeColor="accent1" w:themeShade="BF"/>
    </w:rPr>
  </w:style>
  <w:style w:type="character" w:styleId="IntenseReference">
    <w:name w:val="Intense Reference"/>
    <w:basedOn w:val="DefaultParagraphFont"/>
    <w:uiPriority w:val="32"/>
    <w:qFormat/>
    <w:rsid w:val="002855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3</Pages>
  <Words>1240</Words>
  <Characters>7068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W. Beeler</dc:creator>
  <cp:keywords/>
  <dc:description/>
  <cp:lastModifiedBy>Benjamin W. Beeler</cp:lastModifiedBy>
  <cp:revision>5</cp:revision>
  <dcterms:created xsi:type="dcterms:W3CDTF">2026-06-11T14:55:00Z</dcterms:created>
  <dcterms:modified xsi:type="dcterms:W3CDTF">2026-06-29T15:20:00Z</dcterms:modified>
</cp:coreProperties>
</file>