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3B9AA" w14:textId="1CF8245B" w:rsidR="003745D9" w:rsidRPr="003745D9" w:rsidRDefault="003745D9" w:rsidP="014E56A7">
      <w:pPr>
        <w:rPr>
          <w:rFonts w:ascii="Arial" w:eastAsia="Arial" w:hAnsi="Arial" w:cs="Arial"/>
          <w:i/>
          <w:iCs/>
          <w:color w:val="222222"/>
          <w:shd w:val="clear" w:color="auto" w:fill="FFFFFF"/>
        </w:rPr>
      </w:pPr>
      <w:r w:rsidRPr="003745D9">
        <w:rPr>
          <w:rFonts w:ascii="Arial" w:eastAsia="Arial" w:hAnsi="Arial" w:cs="Arial"/>
          <w:i/>
          <w:iCs/>
          <w:color w:val="222222"/>
          <w:shd w:val="clear" w:color="auto" w:fill="FFFFFF"/>
        </w:rPr>
        <w:t xml:space="preserve">We thank the reviewers for their time and their comments. All comments have been addressed below, and the corresponding revisions have been included in the manuscript. </w:t>
      </w:r>
    </w:p>
    <w:p w14:paraId="3A3FB44D" w14:textId="77777777" w:rsidR="003745D9" w:rsidRDefault="003745D9" w:rsidP="014E56A7">
      <w:pPr>
        <w:rPr>
          <w:rFonts w:ascii="Arial" w:eastAsia="Arial" w:hAnsi="Arial" w:cs="Arial"/>
          <w:b/>
          <w:bCs/>
          <w:color w:val="222222"/>
          <w:shd w:val="clear" w:color="auto" w:fill="FFFFFF"/>
        </w:rPr>
      </w:pPr>
    </w:p>
    <w:p w14:paraId="20E215B6" w14:textId="5EA6A61E" w:rsidR="00305960" w:rsidRPr="00305960" w:rsidRDefault="00305960" w:rsidP="014E56A7">
      <w:pPr>
        <w:rPr>
          <w:rFonts w:ascii="Arial" w:eastAsia="Arial" w:hAnsi="Arial" w:cs="Arial"/>
          <w:b/>
          <w:bCs/>
          <w:color w:val="222222"/>
          <w:shd w:val="clear" w:color="auto" w:fill="FFFFFF"/>
        </w:rPr>
      </w:pPr>
      <w:r w:rsidRPr="014E56A7">
        <w:rPr>
          <w:rFonts w:ascii="Arial" w:eastAsia="Arial" w:hAnsi="Arial" w:cs="Arial"/>
          <w:b/>
          <w:bCs/>
          <w:color w:val="222222"/>
          <w:shd w:val="clear" w:color="auto" w:fill="FFFFFF"/>
        </w:rPr>
        <w:t xml:space="preserve">Reviewer #1: </w:t>
      </w:r>
    </w:p>
    <w:p w14:paraId="06F350A0" w14:textId="77777777" w:rsidR="00305960" w:rsidRDefault="00305960" w:rsidP="014E56A7">
      <w:pPr>
        <w:rPr>
          <w:rFonts w:ascii="Arial" w:eastAsia="Arial" w:hAnsi="Arial" w:cs="Arial"/>
          <w:color w:val="222222"/>
        </w:rPr>
      </w:pPr>
      <w:r w:rsidRPr="014E56A7">
        <w:rPr>
          <w:rFonts w:ascii="Arial" w:eastAsia="Arial" w:hAnsi="Arial" w:cs="Arial"/>
          <w:color w:val="222222"/>
          <w:shd w:val="clear" w:color="auto" w:fill="FFFFFF"/>
        </w:rPr>
        <w:t>In this paper, the Authors present diffusion coefficient calculations of Ce, Nd, U and Pu in BCC Fe, in the context of fuel-cladding chemical interactions in sodium-cooled fast reactors. The calculations make use of a well-established methodology which combines DFT calculations and the self-consistent mean field theory as implemented in the KineCluE code. The specificity of these solutes is that they have a large atomic radius compared with Fe, which makes them interact with vacancies in a peculiar way. These diffusion coefficient calculations are performed in bulk Fe and at (110) surface. Below are a few comments.</w:t>
      </w:r>
      <w:r>
        <w:rPr>
          <w:rFonts w:ascii="Arial" w:hAnsi="Arial" w:cs="Arial"/>
          <w:color w:val="222222"/>
        </w:rPr>
        <w:br/>
      </w:r>
    </w:p>
    <w:p w14:paraId="52350E0E" w14:textId="77777777" w:rsidR="00C95003" w:rsidRDefault="00305960" w:rsidP="014E56A7">
      <w:pPr>
        <w:rPr>
          <w:rFonts w:ascii="Arial" w:eastAsia="Arial" w:hAnsi="Arial" w:cs="Arial"/>
          <w:color w:val="222222"/>
        </w:rPr>
      </w:pPr>
      <w:r w:rsidRPr="014E56A7">
        <w:rPr>
          <w:rFonts w:ascii="Arial" w:eastAsia="Arial" w:hAnsi="Arial" w:cs="Arial"/>
          <w:b/>
          <w:bCs/>
          <w:color w:val="222222"/>
        </w:rPr>
        <w:t>Comment #1:</w:t>
      </w:r>
    </w:p>
    <w:p w14:paraId="4EF94DA3" w14:textId="77777777" w:rsidR="00305960" w:rsidRDefault="00305960" w:rsidP="014E56A7">
      <w:pPr>
        <w:rPr>
          <w:rFonts w:ascii="Arial" w:eastAsia="Arial" w:hAnsi="Arial" w:cs="Arial"/>
          <w:color w:val="222222"/>
          <w:shd w:val="clear" w:color="auto" w:fill="FFFFFF"/>
        </w:rPr>
      </w:pPr>
      <w:r w:rsidRPr="014E56A7">
        <w:rPr>
          <w:rFonts w:ascii="Arial" w:eastAsia="Arial" w:hAnsi="Arial" w:cs="Arial"/>
          <w:color w:val="222222"/>
          <w:shd w:val="clear" w:color="auto" w:fill="FFFFFF"/>
        </w:rPr>
        <w:t>In the abstract, it is said that the result of this work show that solute diffusion is faster at the surface rather than in the bulk. This is not a surprise: it is very well-known that surfaces are diffusion short-circuit. I suggest starting the sentence with "as expected" instead of "The results indicate that".</w:t>
      </w:r>
    </w:p>
    <w:p w14:paraId="5ACC4939" w14:textId="77777777" w:rsidR="00E0494B" w:rsidRDefault="00305960" w:rsidP="014E56A7">
      <w:pPr>
        <w:rPr>
          <w:rFonts w:ascii="Arial" w:eastAsia="Arial" w:hAnsi="Arial" w:cs="Arial"/>
          <w:b/>
          <w:bCs/>
          <w:color w:val="222222"/>
          <w:shd w:val="clear" w:color="auto" w:fill="FFFFFF"/>
        </w:rPr>
      </w:pPr>
      <w:r w:rsidRPr="014E56A7">
        <w:rPr>
          <w:rFonts w:ascii="Arial" w:eastAsia="Arial" w:hAnsi="Arial" w:cs="Arial"/>
          <w:b/>
          <w:bCs/>
          <w:color w:val="222222"/>
          <w:shd w:val="clear" w:color="auto" w:fill="FFFFFF"/>
        </w:rPr>
        <w:t>Reply:</w:t>
      </w:r>
    </w:p>
    <w:p w14:paraId="1701387A" w14:textId="77777777" w:rsidR="00305960" w:rsidRDefault="00E0494B" w:rsidP="014E56A7">
      <w:pPr>
        <w:rPr>
          <w:rFonts w:ascii="Arial" w:eastAsia="Arial" w:hAnsi="Arial" w:cs="Arial"/>
          <w:color w:val="222222"/>
          <w:shd w:val="clear" w:color="auto" w:fill="FFFFFF"/>
        </w:rPr>
      </w:pPr>
      <w:r w:rsidRPr="014E56A7">
        <w:rPr>
          <w:rFonts w:ascii="Arial" w:eastAsia="Arial" w:hAnsi="Arial" w:cs="Arial"/>
          <w:i/>
          <w:iCs/>
          <w:color w:val="222222"/>
          <w:shd w:val="clear" w:color="auto" w:fill="FFFFFF"/>
        </w:rPr>
        <w:t>The start of this sentence was changed to “As expected” as suggested by the reviewer.</w:t>
      </w:r>
      <w:r w:rsidR="00305960">
        <w:rPr>
          <w:rFonts w:ascii="Arial" w:hAnsi="Arial" w:cs="Arial"/>
          <w:color w:val="222222"/>
        </w:rPr>
        <w:br/>
      </w:r>
      <w:r w:rsidR="00305960">
        <w:rPr>
          <w:rFonts w:ascii="Arial" w:hAnsi="Arial" w:cs="Arial"/>
          <w:color w:val="222222"/>
        </w:rPr>
        <w:br/>
      </w:r>
      <w:r w:rsidR="00305960" w:rsidRPr="014E56A7">
        <w:rPr>
          <w:rFonts w:ascii="Arial" w:eastAsia="Arial" w:hAnsi="Arial" w:cs="Arial"/>
          <w:b/>
          <w:bCs/>
          <w:color w:val="222222"/>
        </w:rPr>
        <w:t>Comment #2:</w:t>
      </w:r>
    </w:p>
    <w:p w14:paraId="78C75CA0" w14:textId="77777777" w:rsidR="00E569BE" w:rsidRDefault="00305960" w:rsidP="014E56A7">
      <w:pPr>
        <w:rPr>
          <w:rFonts w:ascii="Arial" w:eastAsia="Arial" w:hAnsi="Arial" w:cs="Arial"/>
          <w:color w:val="222222"/>
          <w:shd w:val="clear" w:color="auto" w:fill="FFFFFF"/>
        </w:rPr>
      </w:pPr>
      <w:r w:rsidRPr="014E56A7">
        <w:rPr>
          <w:rFonts w:ascii="Arial" w:eastAsia="Arial" w:hAnsi="Arial" w:cs="Arial"/>
          <w:color w:val="222222"/>
          <w:shd w:val="clear" w:color="auto" w:fill="FFFFFF"/>
        </w:rPr>
        <w:t xml:space="preserve">I am far from convinced by this idea of using surfaces as a proxy for grain boundaries. It would have been much simpler to study a Σ3 GB instead of a free surface, and it would not have cost more computational power, as long as you restrict diffusion to the GB plane. GB and free surfaces have in common the fact that they are diffusion short-circuits, but that is only a qualitative statement. And structurally they are very different, even more so for OSA atoms. This becomes evident in Sec. 3.4 where the Authors explain that adatoms would probably have a large contribution to diffusion, yet this mechanism is neglected because it would not be available in a GB. This clearly shows that free surfaces and GBs are very different from a structural point of view. If the aim is to get a more quantitative estimation of solute diffusion along GB, then using a surface instead of a GB is not the way to go, even more so as the Authors explain that diffusion at GBs depends a lot on the type of GB, which is totally true. Figure 12 shows that even though there might be comparable activation energies that are at least 4 orders of </w:t>
      </w:r>
      <w:r w:rsidRPr="014E56A7">
        <w:rPr>
          <w:rFonts w:ascii="Arial" w:eastAsia="Arial" w:hAnsi="Arial" w:cs="Arial"/>
          <w:color w:val="222222"/>
          <w:shd w:val="clear" w:color="auto" w:fill="FFFFFF"/>
        </w:rPr>
        <w:lastRenderedPageBreak/>
        <w:t xml:space="preserve">magnitude difference between surface and GB diffusion. This cannot be overlooked. I strongly recommend </w:t>
      </w:r>
      <w:proofErr w:type="gramStart"/>
      <w:r w:rsidRPr="014E56A7">
        <w:rPr>
          <w:rFonts w:ascii="Arial" w:eastAsia="Arial" w:hAnsi="Arial" w:cs="Arial"/>
          <w:color w:val="222222"/>
          <w:shd w:val="clear" w:color="auto" w:fill="FFFFFF"/>
        </w:rPr>
        <w:t>to remove</w:t>
      </w:r>
      <w:proofErr w:type="gramEnd"/>
      <w:r w:rsidRPr="014E56A7">
        <w:rPr>
          <w:rFonts w:ascii="Arial" w:eastAsia="Arial" w:hAnsi="Arial" w:cs="Arial"/>
          <w:color w:val="222222"/>
          <w:shd w:val="clear" w:color="auto" w:fill="FFFFFF"/>
        </w:rPr>
        <w:t xml:space="preserve"> all the sentences saying that surfaces and GBs are more or less alike, and maybe rephrase things in terms of diffusion short-circuit. GBs are the ones we are interested in, but admittedly they are rather hard to study, so the study focuses on a simpler diffusion short-circuit, free surfaces. From this point of view, the comparison with the literature data makes much more sense.</w:t>
      </w:r>
    </w:p>
    <w:p w14:paraId="3E8C19C3" w14:textId="77777777" w:rsidR="00E569BE" w:rsidRPr="00E569BE" w:rsidRDefault="00E569BE" w:rsidP="014E56A7">
      <w:pPr>
        <w:rPr>
          <w:rFonts w:ascii="Arial" w:eastAsia="Arial" w:hAnsi="Arial" w:cs="Arial"/>
          <w:b/>
          <w:bCs/>
          <w:color w:val="222222"/>
          <w:shd w:val="clear" w:color="auto" w:fill="FFFFFF"/>
        </w:rPr>
      </w:pPr>
      <w:r w:rsidRPr="014E56A7">
        <w:rPr>
          <w:rFonts w:ascii="Arial" w:eastAsia="Arial" w:hAnsi="Arial" w:cs="Arial"/>
          <w:b/>
          <w:bCs/>
          <w:color w:val="222222"/>
          <w:shd w:val="clear" w:color="auto" w:fill="FFFFFF"/>
        </w:rPr>
        <w:t>Reply:</w:t>
      </w:r>
    </w:p>
    <w:p w14:paraId="7B6CBB41" w14:textId="77777777" w:rsidR="00E569BE" w:rsidRPr="00E569BE" w:rsidRDefault="00E569BE" w:rsidP="014E56A7">
      <w:pPr>
        <w:rPr>
          <w:rFonts w:ascii="Arial" w:eastAsia="Arial" w:hAnsi="Arial" w:cs="Arial"/>
          <w:i/>
          <w:iCs/>
          <w:color w:val="222222"/>
        </w:rPr>
      </w:pPr>
      <w:r w:rsidRPr="014E56A7">
        <w:rPr>
          <w:rFonts w:ascii="Arial" w:eastAsia="Arial" w:hAnsi="Arial" w:cs="Arial"/>
          <w:i/>
          <w:iCs/>
          <w:color w:val="222222"/>
        </w:rPr>
        <w:t>We thank the reviewer for this insightful comment. We fully agree that free surfaces and grain boundaries are structurally distinct, and that surface diffusion should not be considered a quantitative proxy for grain boundary diffusion.</w:t>
      </w:r>
    </w:p>
    <w:p w14:paraId="6E680979" w14:textId="4DE81D9B" w:rsidR="00E569BE" w:rsidRDefault="00E569BE" w:rsidP="0786D233">
      <w:pPr>
        <w:rPr>
          <w:rFonts w:ascii="Arial" w:eastAsia="Arial" w:hAnsi="Arial" w:cs="Arial"/>
          <w:i/>
          <w:iCs/>
          <w:color w:val="222222"/>
        </w:rPr>
      </w:pPr>
      <w:r w:rsidRPr="0786D233">
        <w:rPr>
          <w:rFonts w:ascii="Arial" w:eastAsia="Arial" w:hAnsi="Arial" w:cs="Arial"/>
          <w:i/>
          <w:iCs/>
          <w:color w:val="222222"/>
        </w:rPr>
        <w:t>Our original intent was not to imply equivalence, but rather to use the free surface as a simplified and computationally tractable model of a diffusion short-circuit pathway. We acknowledge that this distinction was not sufficiently clear in the manuscript and have revised the text accordingly</w:t>
      </w:r>
      <w:r w:rsidR="7A6A77A2" w:rsidRPr="0786D233">
        <w:rPr>
          <w:rFonts w:ascii="Arial" w:eastAsia="Arial" w:hAnsi="Arial" w:cs="Arial"/>
          <w:i/>
          <w:iCs/>
          <w:color w:val="222222"/>
        </w:rPr>
        <w:t xml:space="preserve"> (section 3.4, pages 17 and 18, section 4.2, pages </w:t>
      </w:r>
      <w:r w:rsidR="1BD003EF" w:rsidRPr="0786D233">
        <w:rPr>
          <w:rFonts w:ascii="Arial" w:eastAsia="Arial" w:hAnsi="Arial" w:cs="Arial"/>
          <w:i/>
          <w:iCs/>
          <w:color w:val="222222"/>
        </w:rPr>
        <w:t>23 and 24</w:t>
      </w:r>
      <w:r w:rsidR="7A6A77A2" w:rsidRPr="0786D233">
        <w:rPr>
          <w:rFonts w:ascii="Arial" w:eastAsia="Arial" w:hAnsi="Arial" w:cs="Arial"/>
          <w:i/>
          <w:iCs/>
          <w:color w:val="222222"/>
        </w:rPr>
        <w:t>)</w:t>
      </w:r>
      <w:r w:rsidRPr="0786D233">
        <w:rPr>
          <w:rFonts w:ascii="Arial" w:eastAsia="Arial" w:hAnsi="Arial" w:cs="Arial"/>
          <w:i/>
          <w:iCs/>
          <w:color w:val="222222"/>
        </w:rPr>
        <w:t>.</w:t>
      </w:r>
    </w:p>
    <w:p w14:paraId="6CC1A3CA" w14:textId="77777777" w:rsidR="00A2785E" w:rsidRPr="00A2785E" w:rsidRDefault="00A2785E" w:rsidP="014E56A7">
      <w:pPr>
        <w:rPr>
          <w:rFonts w:ascii="Arial" w:eastAsia="Arial" w:hAnsi="Arial" w:cs="Arial"/>
          <w:i/>
          <w:iCs/>
          <w:color w:val="222222"/>
        </w:rPr>
      </w:pPr>
      <w:r w:rsidRPr="014E56A7">
        <w:rPr>
          <w:rFonts w:ascii="Arial" w:eastAsia="Arial" w:hAnsi="Arial" w:cs="Arial"/>
          <w:i/>
          <w:iCs/>
          <w:color w:val="222222"/>
        </w:rPr>
        <w:t>In particular:</w:t>
      </w:r>
    </w:p>
    <w:p w14:paraId="0DDF894A" w14:textId="77777777" w:rsidR="00A2785E" w:rsidRPr="00A2785E" w:rsidRDefault="00A2785E" w:rsidP="014E56A7">
      <w:pPr>
        <w:numPr>
          <w:ilvl w:val="0"/>
          <w:numId w:val="1"/>
        </w:numPr>
        <w:rPr>
          <w:rFonts w:ascii="Arial" w:eastAsia="Arial" w:hAnsi="Arial" w:cs="Arial"/>
          <w:i/>
          <w:iCs/>
          <w:color w:val="222222"/>
        </w:rPr>
      </w:pPr>
      <w:r w:rsidRPr="014E56A7">
        <w:rPr>
          <w:rFonts w:ascii="Arial" w:eastAsia="Arial" w:hAnsi="Arial" w:cs="Arial"/>
          <w:i/>
          <w:iCs/>
          <w:color w:val="222222"/>
        </w:rPr>
        <w:t xml:space="preserve">We have removed statements suggesting similarity between surface and grain boundary diffusion beyond their qualitative role as fast diffusion pathways. </w:t>
      </w:r>
    </w:p>
    <w:p w14:paraId="696218C1" w14:textId="77777777" w:rsidR="00A2785E" w:rsidRPr="00A2785E" w:rsidRDefault="00EF511A" w:rsidP="014E56A7">
      <w:pPr>
        <w:numPr>
          <w:ilvl w:val="0"/>
          <w:numId w:val="1"/>
        </w:numPr>
        <w:rPr>
          <w:rFonts w:ascii="Arial" w:eastAsia="Arial" w:hAnsi="Arial" w:cs="Arial"/>
          <w:i/>
          <w:iCs/>
          <w:color w:val="222222"/>
        </w:rPr>
      </w:pPr>
      <w:r w:rsidRPr="014E56A7">
        <w:rPr>
          <w:rFonts w:ascii="Arial" w:eastAsia="Arial" w:hAnsi="Arial" w:cs="Arial"/>
          <w:i/>
          <w:iCs/>
          <w:color w:val="222222"/>
        </w:rPr>
        <w:t>Now we explicitly describe</w:t>
      </w:r>
      <w:r w:rsidR="00A2785E" w:rsidRPr="014E56A7">
        <w:rPr>
          <w:rFonts w:ascii="Arial" w:eastAsia="Arial" w:hAnsi="Arial" w:cs="Arial"/>
          <w:i/>
          <w:iCs/>
          <w:color w:val="222222"/>
        </w:rPr>
        <w:t xml:space="preserve"> the surface as a simplified model system that enables systematic investigation of solute–vacancy interactions and migration trends. </w:t>
      </w:r>
    </w:p>
    <w:p w14:paraId="2F7F4BC5" w14:textId="036B4956" w:rsidR="009D63E0" w:rsidRDefault="009D63E0" w:rsidP="0786D233">
      <w:pPr>
        <w:numPr>
          <w:ilvl w:val="0"/>
          <w:numId w:val="1"/>
        </w:numPr>
        <w:rPr>
          <w:rFonts w:ascii="Arial" w:eastAsia="Arial" w:hAnsi="Arial" w:cs="Arial"/>
          <w:i/>
          <w:iCs/>
          <w:color w:val="222222"/>
        </w:rPr>
      </w:pPr>
      <w:r w:rsidRPr="00ED7D74">
        <w:rPr>
          <w:rFonts w:ascii="Arial" w:eastAsia="Arial" w:hAnsi="Arial" w:cs="Arial"/>
          <w:i/>
          <w:iCs/>
        </w:rPr>
        <w:t>We note that direct calculations for specific grain boundaries, such as Σ3 or Σ5, remain valuable future work to determine absolute grain boundary diffusivities for these solutes.</w:t>
      </w:r>
      <w:r w:rsidR="006B6A95" w:rsidRPr="0786D233">
        <w:rPr>
          <w:rFonts w:ascii="Arial" w:eastAsia="Arial" w:hAnsi="Arial" w:cs="Arial"/>
          <w:i/>
          <w:iCs/>
        </w:rPr>
        <w:t xml:space="preserve"> </w:t>
      </w:r>
    </w:p>
    <w:p w14:paraId="679AED44" w14:textId="77777777" w:rsidR="00305960" w:rsidRPr="009D63E0" w:rsidRDefault="00305960" w:rsidP="014E56A7">
      <w:pPr>
        <w:rPr>
          <w:rFonts w:ascii="Arial" w:eastAsia="Arial" w:hAnsi="Arial" w:cs="Arial"/>
          <w:i/>
          <w:iCs/>
          <w:color w:val="222222"/>
        </w:rPr>
      </w:pPr>
      <w:r>
        <w:br/>
      </w:r>
      <w:r w:rsidRPr="014E56A7">
        <w:rPr>
          <w:rFonts w:ascii="Arial" w:eastAsia="Arial" w:hAnsi="Arial" w:cs="Arial"/>
          <w:b/>
          <w:bCs/>
          <w:color w:val="222222"/>
        </w:rPr>
        <w:t>Comment #3:</w:t>
      </w:r>
    </w:p>
    <w:p w14:paraId="7E827963" w14:textId="77777777" w:rsidR="00F56A09" w:rsidRDefault="00305960" w:rsidP="014E56A7">
      <w:pPr>
        <w:rPr>
          <w:rFonts w:ascii="Arial" w:eastAsia="Arial" w:hAnsi="Arial" w:cs="Arial"/>
          <w:color w:val="222222"/>
          <w:shd w:val="clear" w:color="auto" w:fill="FFFFFF"/>
        </w:rPr>
      </w:pPr>
      <w:r w:rsidRPr="014E56A7">
        <w:rPr>
          <w:rFonts w:ascii="Arial" w:eastAsia="Arial" w:hAnsi="Arial" w:cs="Arial"/>
          <w:color w:val="222222"/>
          <w:shd w:val="clear" w:color="auto" w:fill="FFFFFF"/>
        </w:rPr>
        <w:t>In the introduction, page 2 line 48: this is not entirely true. Note that OSA mechanisms were used to benchmark the KineCluE code, see Ref. 26.</w:t>
      </w:r>
    </w:p>
    <w:p w14:paraId="4647A36B" w14:textId="77777777" w:rsidR="00F56A09" w:rsidRPr="00F56A09" w:rsidRDefault="00F56A09" w:rsidP="014E56A7">
      <w:pPr>
        <w:rPr>
          <w:rFonts w:ascii="Arial" w:eastAsia="Arial" w:hAnsi="Arial" w:cs="Arial"/>
          <w:b/>
          <w:bCs/>
          <w:color w:val="222222"/>
          <w:shd w:val="clear" w:color="auto" w:fill="FFFFFF"/>
        </w:rPr>
      </w:pPr>
      <w:r w:rsidRPr="014E56A7">
        <w:rPr>
          <w:rFonts w:ascii="Arial" w:eastAsia="Arial" w:hAnsi="Arial" w:cs="Arial"/>
          <w:b/>
          <w:bCs/>
          <w:color w:val="222222"/>
          <w:shd w:val="clear" w:color="auto" w:fill="FFFFFF"/>
        </w:rPr>
        <w:t>Reply:</w:t>
      </w:r>
    </w:p>
    <w:p w14:paraId="3BED41D3" w14:textId="77777777" w:rsidR="00305960" w:rsidRDefault="00F56A09" w:rsidP="014E56A7">
      <w:pPr>
        <w:rPr>
          <w:rFonts w:ascii="Arial" w:eastAsia="Arial" w:hAnsi="Arial" w:cs="Arial"/>
          <w:color w:val="222222"/>
          <w:shd w:val="clear" w:color="auto" w:fill="FFFFFF"/>
        </w:rPr>
      </w:pPr>
      <w:r w:rsidRPr="014E56A7">
        <w:rPr>
          <w:rFonts w:ascii="Arial" w:eastAsia="Arial" w:hAnsi="Arial" w:cs="Arial"/>
          <w:i/>
          <w:iCs/>
          <w:color w:val="222222"/>
        </w:rPr>
        <w:t xml:space="preserve">We thank the reviewer for pointing this out. </w:t>
      </w:r>
      <w:r w:rsidR="00EA1D29" w:rsidRPr="014E56A7">
        <w:rPr>
          <w:rFonts w:ascii="Arial" w:eastAsia="Arial" w:hAnsi="Arial" w:cs="Arial"/>
          <w:i/>
          <w:iCs/>
          <w:color w:val="222222"/>
        </w:rPr>
        <w:t xml:space="preserve">We edited this sentence to highlight that the OSA mechanisms were used to benchmark the KineClue </w:t>
      </w:r>
      <w:proofErr w:type="gramStart"/>
      <w:r w:rsidR="00EA1D29" w:rsidRPr="014E56A7">
        <w:rPr>
          <w:rFonts w:ascii="Arial" w:eastAsia="Arial" w:hAnsi="Arial" w:cs="Arial"/>
          <w:i/>
          <w:iCs/>
          <w:color w:val="222222"/>
        </w:rPr>
        <w:t>Code</w:t>
      </w:r>
      <w:proofErr w:type="gramEnd"/>
      <w:r w:rsidR="00EA1D29" w:rsidRPr="014E56A7">
        <w:rPr>
          <w:rFonts w:ascii="Arial" w:eastAsia="Arial" w:hAnsi="Arial" w:cs="Arial"/>
          <w:i/>
          <w:iCs/>
          <w:color w:val="222222"/>
        </w:rPr>
        <w:t xml:space="preserve"> and we also cited a more recent study by Ke and Song that implemented this approach to study the diffusion of La, Ce, Nd, and Pr in BCC Fe.</w:t>
      </w:r>
      <w:r>
        <w:br/>
      </w:r>
      <w:r>
        <w:br/>
      </w:r>
      <w:r w:rsidR="00305960" w:rsidRPr="014E56A7">
        <w:rPr>
          <w:rFonts w:ascii="Arial" w:eastAsia="Arial" w:hAnsi="Arial" w:cs="Arial"/>
          <w:b/>
          <w:bCs/>
          <w:color w:val="222222"/>
        </w:rPr>
        <w:t>Comment #4:</w:t>
      </w:r>
    </w:p>
    <w:p w14:paraId="21FF1900" w14:textId="77777777" w:rsidR="00EA1D29" w:rsidRDefault="00305960" w:rsidP="014E56A7">
      <w:pPr>
        <w:rPr>
          <w:rFonts w:ascii="Arial" w:eastAsia="Arial" w:hAnsi="Arial" w:cs="Arial"/>
          <w:color w:val="222222"/>
          <w:shd w:val="clear" w:color="auto" w:fill="FFFFFF"/>
        </w:rPr>
      </w:pPr>
      <w:r w:rsidRPr="014E56A7">
        <w:rPr>
          <w:rFonts w:ascii="Arial" w:eastAsia="Arial" w:hAnsi="Arial" w:cs="Arial"/>
          <w:color w:val="222222"/>
          <w:shd w:val="clear" w:color="auto" w:fill="FFFFFF"/>
        </w:rPr>
        <w:lastRenderedPageBreak/>
        <w:t>A few lines below, line 60: the transport coefficients computed with KineCluE are not exact. As it is explained later on in the paper, the kinetic range controls the convergence of the calculations, i.e. the exactness.</w:t>
      </w:r>
    </w:p>
    <w:p w14:paraId="25CBC7A7" w14:textId="77777777" w:rsidR="00EA1D29" w:rsidRDefault="00EA1D29" w:rsidP="014E56A7">
      <w:pPr>
        <w:rPr>
          <w:rFonts w:ascii="Arial" w:eastAsia="Arial" w:hAnsi="Arial" w:cs="Arial"/>
          <w:color w:val="222222"/>
        </w:rPr>
      </w:pPr>
      <w:r w:rsidRPr="014E56A7">
        <w:rPr>
          <w:rFonts w:ascii="Arial" w:eastAsia="Arial" w:hAnsi="Arial" w:cs="Arial"/>
          <w:b/>
          <w:bCs/>
          <w:color w:val="222222"/>
          <w:shd w:val="clear" w:color="auto" w:fill="FFFFFF"/>
        </w:rPr>
        <w:t>Reply:</w:t>
      </w:r>
    </w:p>
    <w:p w14:paraId="297EBDD8" w14:textId="77777777" w:rsidR="00EA1D29" w:rsidRPr="00BE530E" w:rsidRDefault="00EA1D29" w:rsidP="014E56A7">
      <w:pPr>
        <w:rPr>
          <w:rFonts w:ascii="Arial" w:eastAsia="Arial" w:hAnsi="Arial" w:cs="Arial"/>
          <w:i/>
          <w:iCs/>
          <w:color w:val="222222"/>
        </w:rPr>
      </w:pPr>
      <w:r w:rsidRPr="014E56A7">
        <w:rPr>
          <w:rFonts w:ascii="Arial" w:eastAsia="Arial" w:hAnsi="Arial" w:cs="Arial"/>
          <w:i/>
          <w:iCs/>
          <w:color w:val="222222"/>
        </w:rPr>
        <w:t>This is true. The transport coefficients calculated with KineCluE are highly accurate approximations that converge towards the exact solution for a sufficient kinetic radius.</w:t>
      </w:r>
      <w:r w:rsidR="007F4472" w:rsidRPr="014E56A7">
        <w:rPr>
          <w:rFonts w:ascii="Arial" w:eastAsia="Arial" w:hAnsi="Arial" w:cs="Arial"/>
          <w:i/>
          <w:iCs/>
          <w:color w:val="222222"/>
        </w:rPr>
        <w:t xml:space="preserve"> The word </w:t>
      </w:r>
      <w:r w:rsidR="00784714" w:rsidRPr="014E56A7">
        <w:rPr>
          <w:rFonts w:ascii="Arial" w:eastAsia="Arial" w:hAnsi="Arial" w:cs="Arial"/>
          <w:i/>
          <w:iCs/>
          <w:color w:val="222222"/>
        </w:rPr>
        <w:t>“</w:t>
      </w:r>
      <w:r w:rsidR="007F4472" w:rsidRPr="014E56A7">
        <w:rPr>
          <w:rFonts w:ascii="Arial" w:eastAsia="Arial" w:hAnsi="Arial" w:cs="Arial"/>
          <w:i/>
          <w:iCs/>
          <w:color w:val="222222"/>
        </w:rPr>
        <w:t>exact</w:t>
      </w:r>
      <w:r w:rsidR="00784714" w:rsidRPr="014E56A7">
        <w:rPr>
          <w:rFonts w:ascii="Arial" w:eastAsia="Arial" w:hAnsi="Arial" w:cs="Arial"/>
          <w:i/>
          <w:iCs/>
          <w:color w:val="222222"/>
        </w:rPr>
        <w:t>”</w:t>
      </w:r>
      <w:r w:rsidR="007F4472" w:rsidRPr="014E56A7">
        <w:rPr>
          <w:rFonts w:ascii="Arial" w:eastAsia="Arial" w:hAnsi="Arial" w:cs="Arial"/>
          <w:i/>
          <w:iCs/>
          <w:color w:val="222222"/>
        </w:rPr>
        <w:t xml:space="preserve"> is omitted.</w:t>
      </w:r>
    </w:p>
    <w:p w14:paraId="4A24EE84" w14:textId="77777777" w:rsidR="00305960" w:rsidRPr="00EA1D29" w:rsidRDefault="00305960" w:rsidP="014E56A7">
      <w:pPr>
        <w:rPr>
          <w:rFonts w:ascii="Arial" w:eastAsia="Arial" w:hAnsi="Arial" w:cs="Arial"/>
          <w:color w:val="222222"/>
        </w:rPr>
      </w:pPr>
      <w:r w:rsidRPr="014E56A7">
        <w:rPr>
          <w:rFonts w:ascii="Arial" w:eastAsia="Arial" w:hAnsi="Arial" w:cs="Arial"/>
          <w:b/>
          <w:bCs/>
          <w:color w:val="222222"/>
        </w:rPr>
        <w:t>Comment #5:</w:t>
      </w:r>
    </w:p>
    <w:p w14:paraId="15D37C25" w14:textId="77777777" w:rsidR="00491AF8" w:rsidRDefault="00305960" w:rsidP="014E56A7">
      <w:pPr>
        <w:rPr>
          <w:rFonts w:ascii="Arial" w:eastAsia="Arial" w:hAnsi="Arial" w:cs="Arial"/>
          <w:color w:val="222222"/>
        </w:rPr>
      </w:pPr>
      <w:r w:rsidRPr="014E56A7">
        <w:rPr>
          <w:rFonts w:ascii="Arial" w:eastAsia="Arial" w:hAnsi="Arial" w:cs="Arial"/>
          <w:color w:val="222222"/>
          <w:shd w:val="clear" w:color="auto" w:fill="FFFFFF"/>
        </w:rPr>
        <w:t xml:space="preserve">Page 4, line 20-21: I don't get why you couldn't just use the same kinetic range for both cases, bulk and surface. </w:t>
      </w:r>
      <w:proofErr w:type="gramStart"/>
      <w:r w:rsidRPr="014E56A7">
        <w:rPr>
          <w:rFonts w:ascii="Arial" w:eastAsia="Arial" w:hAnsi="Arial" w:cs="Arial"/>
          <w:color w:val="222222"/>
          <w:shd w:val="clear" w:color="auto" w:fill="FFFFFF"/>
        </w:rPr>
        <w:t>Moreover</w:t>
      </w:r>
      <w:proofErr w:type="gramEnd"/>
      <w:r w:rsidRPr="014E56A7">
        <w:rPr>
          <w:rFonts w:ascii="Arial" w:eastAsia="Arial" w:hAnsi="Arial" w:cs="Arial"/>
          <w:color w:val="222222"/>
          <w:shd w:val="clear" w:color="auto" w:fill="FFFFFF"/>
        </w:rPr>
        <w:t xml:space="preserve"> there seem to be a problem with the number since when the kinetic range increases the maximum B concentration should increase whereas the opposite is written.</w:t>
      </w:r>
    </w:p>
    <w:p w14:paraId="60FD6F9B" w14:textId="77777777" w:rsidR="00491AF8" w:rsidRPr="00491AF8" w:rsidRDefault="00491AF8" w:rsidP="014E56A7">
      <w:pPr>
        <w:rPr>
          <w:rFonts w:ascii="Arial" w:eastAsia="Arial" w:hAnsi="Arial" w:cs="Arial"/>
          <w:b/>
          <w:bCs/>
          <w:color w:val="222222"/>
        </w:rPr>
      </w:pPr>
      <w:r w:rsidRPr="014E56A7">
        <w:rPr>
          <w:rFonts w:ascii="Arial" w:eastAsia="Arial" w:hAnsi="Arial" w:cs="Arial"/>
          <w:b/>
          <w:bCs/>
          <w:color w:val="222222"/>
        </w:rPr>
        <w:t>Reply:</w:t>
      </w:r>
    </w:p>
    <w:p w14:paraId="1CFE7A7C" w14:textId="77777777" w:rsidR="00491AF8" w:rsidRPr="00491AF8" w:rsidRDefault="00491AF8" w:rsidP="014E56A7">
      <w:pPr>
        <w:rPr>
          <w:rFonts w:ascii="Arial" w:eastAsia="Arial" w:hAnsi="Arial" w:cs="Arial"/>
          <w:i/>
          <w:iCs/>
          <w:color w:val="222222"/>
        </w:rPr>
      </w:pPr>
      <w:r w:rsidRPr="014E56A7">
        <w:rPr>
          <w:rFonts w:ascii="Arial" w:eastAsia="Arial" w:hAnsi="Arial" w:cs="Arial"/>
          <w:i/>
          <w:iCs/>
          <w:color w:val="222222"/>
        </w:rPr>
        <w:t>It should be noted</w:t>
      </w:r>
      <w:r w:rsidR="00356F5B" w:rsidRPr="014E56A7">
        <w:rPr>
          <w:rFonts w:ascii="Arial" w:eastAsia="Arial" w:hAnsi="Arial" w:cs="Arial"/>
          <w:i/>
          <w:iCs/>
          <w:color w:val="222222"/>
        </w:rPr>
        <w:t xml:space="preserve"> that the cluster</w:t>
      </w:r>
      <w:r w:rsidRPr="014E56A7">
        <w:rPr>
          <w:rFonts w:ascii="Arial" w:eastAsia="Arial" w:hAnsi="Arial" w:cs="Arial"/>
          <w:i/>
          <w:iCs/>
          <w:color w:val="222222"/>
        </w:rPr>
        <w:t xml:space="preserve"> defined in KineCluE for surface diffusion is a two-dimensional cluster where a single layer of atoms </w:t>
      </w:r>
      <w:r w:rsidR="00356F5B" w:rsidRPr="014E56A7">
        <w:rPr>
          <w:rFonts w:ascii="Arial" w:eastAsia="Arial" w:hAnsi="Arial" w:cs="Arial"/>
          <w:i/>
          <w:iCs/>
          <w:color w:val="222222"/>
        </w:rPr>
        <w:t>is</w:t>
      </w:r>
      <w:r w:rsidRPr="014E56A7">
        <w:rPr>
          <w:rFonts w:ascii="Arial" w:eastAsia="Arial" w:hAnsi="Arial" w:cs="Arial"/>
          <w:i/>
          <w:iCs/>
          <w:color w:val="222222"/>
        </w:rPr>
        <w:t xml:space="preserve"> considered. The convergence of the results with the kinetic range in this cluster is independent of the kinetic range used for the three-dimensional cluster used for bulk diffusion calculations. This also explains why a larger kinetic range (r</w:t>
      </w:r>
      <w:r w:rsidRPr="014E56A7">
        <w:rPr>
          <w:rFonts w:ascii="Arial" w:eastAsia="Arial" w:hAnsi="Arial" w:cs="Arial"/>
          <w:i/>
          <w:iCs/>
          <w:color w:val="222222"/>
          <w:vertAlign w:val="subscript"/>
        </w:rPr>
        <w:t>kin</w:t>
      </w:r>
      <w:r w:rsidRPr="014E56A7">
        <w:rPr>
          <w:rFonts w:ascii="Arial" w:eastAsia="Arial" w:hAnsi="Arial" w:cs="Arial"/>
          <w:i/>
          <w:iCs/>
          <w:color w:val="222222"/>
        </w:rPr>
        <w:t xml:space="preserve"> = 5 a) for the two-dimensional cluster in the surface results in a lower number of atoms (86 atoms) than the number of atoms in the three-dimensional cluster with r</w:t>
      </w:r>
      <w:r w:rsidRPr="014E56A7">
        <w:rPr>
          <w:rFonts w:ascii="Arial" w:eastAsia="Arial" w:hAnsi="Arial" w:cs="Arial"/>
          <w:i/>
          <w:iCs/>
          <w:color w:val="222222"/>
          <w:vertAlign w:val="subscript"/>
        </w:rPr>
        <w:t>kin</w:t>
      </w:r>
      <w:r w:rsidRPr="014E56A7">
        <w:rPr>
          <w:rFonts w:ascii="Arial" w:eastAsia="Arial" w:hAnsi="Arial" w:cs="Arial"/>
          <w:i/>
          <w:iCs/>
          <w:color w:val="222222"/>
        </w:rPr>
        <w:t xml:space="preserve"> = 4 a (540 atoms).</w:t>
      </w:r>
    </w:p>
    <w:p w14:paraId="58DF86DE" w14:textId="77777777" w:rsidR="00305960" w:rsidRDefault="00305960" w:rsidP="014E56A7">
      <w:pPr>
        <w:rPr>
          <w:rFonts w:ascii="Arial" w:eastAsia="Arial" w:hAnsi="Arial" w:cs="Arial"/>
          <w:color w:val="222222"/>
          <w:shd w:val="clear" w:color="auto" w:fill="FFFFFF"/>
        </w:rPr>
      </w:pPr>
      <w:r w:rsidRPr="014E56A7">
        <w:rPr>
          <w:rFonts w:ascii="Arial" w:eastAsia="Arial" w:hAnsi="Arial" w:cs="Arial"/>
          <w:b/>
          <w:bCs/>
          <w:color w:val="222222"/>
        </w:rPr>
        <w:t>Comment #6:</w:t>
      </w:r>
    </w:p>
    <w:p w14:paraId="4809B224" w14:textId="77777777" w:rsidR="00D746D8" w:rsidRDefault="00305960" w:rsidP="014E56A7">
      <w:pPr>
        <w:rPr>
          <w:rFonts w:ascii="Arial" w:eastAsia="Arial" w:hAnsi="Arial" w:cs="Arial"/>
          <w:color w:val="222222"/>
          <w:shd w:val="clear" w:color="auto" w:fill="FFFFFF"/>
        </w:rPr>
      </w:pPr>
      <w:r w:rsidRPr="014E56A7">
        <w:rPr>
          <w:rFonts w:ascii="Arial" w:eastAsia="Arial" w:hAnsi="Arial" w:cs="Arial"/>
          <w:color w:val="222222"/>
          <w:shd w:val="clear" w:color="auto" w:fill="FFFFFF"/>
        </w:rPr>
        <w:t>Eq. 6: the L_AV coefficients should be written in terms of L_VV, L_BV and L_BB coefficients to make everything consistent with the previous equations.</w:t>
      </w:r>
    </w:p>
    <w:p w14:paraId="7EB6D43E" w14:textId="77777777" w:rsidR="00D746D8" w:rsidRPr="00D746D8" w:rsidRDefault="00D746D8" w:rsidP="014E56A7">
      <w:pPr>
        <w:rPr>
          <w:rFonts w:ascii="Arial" w:eastAsia="Arial" w:hAnsi="Arial" w:cs="Arial"/>
          <w:b/>
          <w:bCs/>
          <w:color w:val="222222"/>
          <w:shd w:val="clear" w:color="auto" w:fill="FFFFFF"/>
        </w:rPr>
      </w:pPr>
      <w:r w:rsidRPr="014E56A7">
        <w:rPr>
          <w:rFonts w:ascii="Arial" w:eastAsia="Arial" w:hAnsi="Arial" w:cs="Arial"/>
          <w:b/>
          <w:bCs/>
          <w:color w:val="222222"/>
          <w:shd w:val="clear" w:color="auto" w:fill="FFFFFF"/>
        </w:rPr>
        <w:t>Reply:</w:t>
      </w:r>
    </w:p>
    <w:p w14:paraId="0B4D3945" w14:textId="77777777" w:rsidR="00305960" w:rsidRDefault="00D746D8" w:rsidP="014E56A7">
      <w:pPr>
        <w:rPr>
          <w:rFonts w:ascii="Arial" w:eastAsia="Arial" w:hAnsi="Arial" w:cs="Arial"/>
          <w:color w:val="222222"/>
          <w:shd w:val="clear" w:color="auto" w:fill="FFFFFF"/>
        </w:rPr>
      </w:pPr>
      <w:r w:rsidRPr="014E56A7">
        <w:rPr>
          <w:rFonts w:ascii="Arial" w:eastAsia="Arial" w:hAnsi="Arial" w:cs="Arial"/>
          <w:i/>
          <w:iCs/>
          <w:color w:val="222222"/>
        </w:rPr>
        <w:t>Equation 6 was modified to be in terms of L_VV and L_VB.</w:t>
      </w:r>
      <w:r>
        <w:br/>
      </w:r>
      <w:r>
        <w:br/>
      </w:r>
      <w:r w:rsidR="00305960" w:rsidRPr="014E56A7">
        <w:rPr>
          <w:rFonts w:ascii="Arial" w:eastAsia="Arial" w:hAnsi="Arial" w:cs="Arial"/>
          <w:b/>
          <w:bCs/>
          <w:color w:val="222222"/>
        </w:rPr>
        <w:t>Comment #7:</w:t>
      </w:r>
    </w:p>
    <w:p w14:paraId="706BB83B" w14:textId="77777777" w:rsidR="00885BC4" w:rsidRDefault="00305960" w:rsidP="014E56A7">
      <w:pPr>
        <w:rPr>
          <w:rFonts w:ascii="Arial" w:eastAsia="Arial" w:hAnsi="Arial" w:cs="Arial"/>
          <w:color w:val="222222"/>
          <w:shd w:val="clear" w:color="auto" w:fill="FFFFFF"/>
        </w:rPr>
      </w:pPr>
      <w:r w:rsidRPr="014E56A7">
        <w:rPr>
          <w:rFonts w:ascii="Arial" w:eastAsia="Arial" w:hAnsi="Arial" w:cs="Arial"/>
          <w:color w:val="222222"/>
          <w:shd w:val="clear" w:color="auto" w:fill="FFFFFF"/>
        </w:rPr>
        <w:t>Page 5 line 17: I don't understand the part "utilizing initial input from the Grain Boundary Database": what specific input was needed/used?</w:t>
      </w:r>
    </w:p>
    <w:p w14:paraId="6632B94F" w14:textId="77777777" w:rsidR="00885BC4" w:rsidRPr="00885BC4" w:rsidRDefault="00885BC4" w:rsidP="014E56A7">
      <w:pPr>
        <w:rPr>
          <w:rFonts w:ascii="Arial" w:eastAsia="Arial" w:hAnsi="Arial" w:cs="Arial"/>
          <w:b/>
          <w:bCs/>
          <w:color w:val="222222"/>
          <w:shd w:val="clear" w:color="auto" w:fill="FFFFFF"/>
        </w:rPr>
      </w:pPr>
      <w:r w:rsidRPr="014E56A7">
        <w:rPr>
          <w:rFonts w:ascii="Arial" w:eastAsia="Arial" w:hAnsi="Arial" w:cs="Arial"/>
          <w:b/>
          <w:bCs/>
          <w:color w:val="222222"/>
          <w:shd w:val="clear" w:color="auto" w:fill="FFFFFF"/>
        </w:rPr>
        <w:t>Reply:</w:t>
      </w:r>
    </w:p>
    <w:p w14:paraId="5F71AC65" w14:textId="564CD99D" w:rsidR="00305960" w:rsidRDefault="00885BC4" w:rsidP="014E56A7">
      <w:pPr>
        <w:rPr>
          <w:rFonts w:ascii="Arial" w:eastAsia="Arial" w:hAnsi="Arial" w:cs="Arial"/>
          <w:color w:val="222222"/>
          <w:shd w:val="clear" w:color="auto" w:fill="FFFFFF"/>
        </w:rPr>
      </w:pPr>
      <w:r w:rsidRPr="0786D233">
        <w:rPr>
          <w:rFonts w:ascii="Arial" w:eastAsia="Arial" w:hAnsi="Arial" w:cs="Arial"/>
          <w:i/>
          <w:iCs/>
        </w:rPr>
        <w:t xml:space="preserve">We thank the reviewer for pointing out the ambiguity. The Grain Boundary Database was only used as a source for the initial primitive </w:t>
      </w:r>
      <w:proofErr w:type="gramStart"/>
      <w:r w:rsidRPr="0786D233">
        <w:rPr>
          <w:rFonts w:ascii="Arial" w:eastAsia="Arial" w:hAnsi="Arial" w:cs="Arial"/>
          <w:i/>
          <w:iCs/>
        </w:rPr>
        <w:t>Fe(</w:t>
      </w:r>
      <w:proofErr w:type="gramEnd"/>
      <w:r w:rsidRPr="0786D233">
        <w:rPr>
          <w:rFonts w:ascii="Arial" w:eastAsia="Arial" w:hAnsi="Arial" w:cs="Arial"/>
          <w:i/>
          <w:iCs/>
        </w:rPr>
        <w:t xml:space="preserve">110) slab structure (6 atoms). This structure was subsequently expanded via a 6×6×1 supercell replication to construct the 216-atom slab used in this work. </w:t>
      </w:r>
      <w:r w:rsidR="4C162D82" w:rsidRPr="0786D233">
        <w:rPr>
          <w:rFonts w:ascii="Arial" w:eastAsia="Arial" w:hAnsi="Arial" w:cs="Arial"/>
          <w:i/>
          <w:iCs/>
        </w:rPr>
        <w:t xml:space="preserve">This was clarified in the revised manuscript in page 5. </w:t>
      </w:r>
      <w:r w:rsidRPr="0786D233">
        <w:rPr>
          <w:rFonts w:ascii="Arial" w:eastAsia="Arial" w:hAnsi="Arial" w:cs="Arial"/>
          <w:i/>
          <w:iCs/>
        </w:rPr>
        <w:lastRenderedPageBreak/>
        <w:t>No additional inputs or parameters were taken from the database.</w:t>
      </w:r>
      <w:r>
        <w:br/>
      </w:r>
      <w:r>
        <w:br/>
      </w:r>
      <w:r w:rsidR="00305960" w:rsidRPr="0786D233">
        <w:rPr>
          <w:rFonts w:ascii="Arial" w:eastAsia="Arial" w:hAnsi="Arial" w:cs="Arial"/>
          <w:b/>
          <w:bCs/>
          <w:color w:val="222222"/>
        </w:rPr>
        <w:t>Comment #8:</w:t>
      </w:r>
    </w:p>
    <w:p w14:paraId="78FBB3E5" w14:textId="77777777" w:rsidR="00875741" w:rsidRDefault="00305960" w:rsidP="014E56A7">
      <w:pPr>
        <w:rPr>
          <w:rFonts w:ascii="Arial" w:eastAsia="Arial" w:hAnsi="Arial" w:cs="Arial"/>
          <w:color w:val="222222"/>
        </w:rPr>
      </w:pPr>
      <w:r w:rsidRPr="014E56A7">
        <w:rPr>
          <w:rFonts w:ascii="Arial" w:eastAsia="Arial" w:hAnsi="Arial" w:cs="Arial"/>
          <w:color w:val="222222"/>
          <w:shd w:val="clear" w:color="auto" w:fill="FFFFFF"/>
        </w:rPr>
        <w:t>Eq. 13: In the Vineyard paper, the product is not restricted to the vibrations of the hopping atom, it runs on the degrees of freedom of the whole system, as in Eq. 12. Equation 13 is a common approximation, but not one made by Vineyard.</w:t>
      </w:r>
    </w:p>
    <w:p w14:paraId="60837838" w14:textId="77777777" w:rsidR="00875741" w:rsidRPr="00C4676B" w:rsidRDefault="00875741" w:rsidP="014E56A7">
      <w:pPr>
        <w:rPr>
          <w:rFonts w:ascii="Arial" w:eastAsia="Arial" w:hAnsi="Arial" w:cs="Arial"/>
          <w:b/>
          <w:bCs/>
          <w:color w:val="222222"/>
        </w:rPr>
      </w:pPr>
      <w:r w:rsidRPr="014E56A7">
        <w:rPr>
          <w:rFonts w:ascii="Arial" w:eastAsia="Arial" w:hAnsi="Arial" w:cs="Arial"/>
          <w:b/>
          <w:bCs/>
          <w:color w:val="222222"/>
        </w:rPr>
        <w:t>Reply:</w:t>
      </w:r>
    </w:p>
    <w:p w14:paraId="0A592DE0" w14:textId="77777777" w:rsidR="00875741" w:rsidRPr="00875741" w:rsidRDefault="00875741" w:rsidP="014E56A7">
      <w:pPr>
        <w:rPr>
          <w:rFonts w:ascii="Arial" w:eastAsia="Arial" w:hAnsi="Arial" w:cs="Arial"/>
          <w:i/>
          <w:iCs/>
          <w:color w:val="222222"/>
        </w:rPr>
      </w:pPr>
      <w:r w:rsidRPr="014E56A7">
        <w:rPr>
          <w:rFonts w:ascii="Arial" w:eastAsia="Arial" w:hAnsi="Arial" w:cs="Arial"/>
          <w:i/>
          <w:iCs/>
        </w:rPr>
        <w:t>We thank the reviewer for this clarification. We agree that the original Vineyard formulation includes all 3N vibrational degrees of freedom. In this work, we employ the commonly used approximation in which only the vibrational modes of the hopping atom(s) are considered for surface calculations. The manuscript has been revised to explicitly state this distinction.</w:t>
      </w:r>
    </w:p>
    <w:p w14:paraId="3C703672" w14:textId="77777777" w:rsidR="00305960" w:rsidRDefault="00305960" w:rsidP="014E56A7">
      <w:pPr>
        <w:rPr>
          <w:rFonts w:ascii="Arial" w:eastAsia="Arial" w:hAnsi="Arial" w:cs="Arial"/>
          <w:color w:val="222222"/>
          <w:shd w:val="clear" w:color="auto" w:fill="FFFFFF"/>
        </w:rPr>
      </w:pPr>
      <w:r>
        <w:br/>
      </w:r>
      <w:r w:rsidRPr="014E56A7">
        <w:rPr>
          <w:rFonts w:ascii="Arial" w:eastAsia="Arial" w:hAnsi="Arial" w:cs="Arial"/>
          <w:b/>
          <w:bCs/>
          <w:color w:val="222222"/>
        </w:rPr>
        <w:t>Comment #9:</w:t>
      </w:r>
    </w:p>
    <w:p w14:paraId="2C8E907A" w14:textId="77777777" w:rsidR="00456E36" w:rsidRDefault="00305960" w:rsidP="014E56A7">
      <w:pPr>
        <w:rPr>
          <w:rFonts w:ascii="Arial" w:eastAsia="Arial" w:hAnsi="Arial" w:cs="Arial"/>
          <w:color w:val="222222"/>
          <w:shd w:val="clear" w:color="auto" w:fill="FFFFFF"/>
        </w:rPr>
      </w:pPr>
      <w:r w:rsidRPr="014E56A7">
        <w:rPr>
          <w:rFonts w:ascii="Arial" w:eastAsia="Arial" w:hAnsi="Arial" w:cs="Arial"/>
          <w:color w:val="222222"/>
          <w:shd w:val="clear" w:color="auto" w:fill="FFFFFF"/>
        </w:rPr>
        <w:t>Page 11 line 20: if the configuration is truly unstable, it should have an imaginary frequency from the force constant matrix computed at this configuration.</w:t>
      </w:r>
    </w:p>
    <w:p w14:paraId="60D9B219" w14:textId="77777777" w:rsidR="00456E36" w:rsidRDefault="00456E36" w:rsidP="014E56A7">
      <w:pPr>
        <w:rPr>
          <w:rFonts w:ascii="Arial" w:eastAsia="Arial" w:hAnsi="Arial" w:cs="Arial"/>
          <w:b/>
          <w:bCs/>
          <w:color w:val="222222"/>
          <w:shd w:val="clear" w:color="auto" w:fill="FFFFFF"/>
        </w:rPr>
      </w:pPr>
      <w:r w:rsidRPr="014E56A7">
        <w:rPr>
          <w:rFonts w:ascii="Arial" w:eastAsia="Arial" w:hAnsi="Arial" w:cs="Arial"/>
          <w:b/>
          <w:bCs/>
          <w:color w:val="222222"/>
          <w:shd w:val="clear" w:color="auto" w:fill="FFFFFF"/>
        </w:rPr>
        <w:t>Reply:</w:t>
      </w:r>
    </w:p>
    <w:p w14:paraId="38F07A0A" w14:textId="3B63B01F" w:rsidR="00305960" w:rsidRDefault="379769D0" w:rsidP="014E56A7">
      <w:pPr>
        <w:rPr>
          <w:rFonts w:ascii="Arial" w:eastAsia="Arial" w:hAnsi="Arial" w:cs="Arial"/>
          <w:color w:val="222222"/>
          <w:shd w:val="clear" w:color="auto" w:fill="FFFFFF"/>
        </w:rPr>
      </w:pPr>
      <w:r w:rsidRPr="395E0093">
        <w:rPr>
          <w:rFonts w:ascii="Arial" w:eastAsia="Arial" w:hAnsi="Arial" w:cs="Arial"/>
          <w:i/>
          <w:iCs/>
          <w:color w:val="222222"/>
          <w:shd w:val="clear" w:color="auto" w:fill="FFFFFF"/>
        </w:rPr>
        <w:t>This is true</w:t>
      </w:r>
      <w:r w:rsidR="63E59D00" w:rsidRPr="395E0093">
        <w:rPr>
          <w:rFonts w:ascii="Arial" w:eastAsia="Arial" w:hAnsi="Arial" w:cs="Arial"/>
          <w:i/>
          <w:iCs/>
          <w:color w:val="222222"/>
        </w:rPr>
        <w:t>, but unfortunately, force-constant matrices are not</w:t>
      </w:r>
      <w:r w:rsidR="691EE2C8" w:rsidRPr="395E0093">
        <w:rPr>
          <w:rFonts w:ascii="Arial" w:eastAsia="Arial" w:hAnsi="Arial" w:cs="Arial"/>
          <w:i/>
          <w:iCs/>
          <w:color w:val="222222"/>
          <w:shd w:val="clear" w:color="auto" w:fill="FFFFFF"/>
        </w:rPr>
        <w:t xml:space="preserve"> currently available</w:t>
      </w:r>
      <w:r w:rsidR="34677663" w:rsidRPr="395E0093">
        <w:rPr>
          <w:rFonts w:ascii="Arial" w:eastAsia="Arial" w:hAnsi="Arial" w:cs="Arial"/>
          <w:i/>
          <w:iCs/>
          <w:color w:val="222222"/>
          <w:shd w:val="clear" w:color="auto" w:fill="FFFFFF"/>
        </w:rPr>
        <w:t xml:space="preserve"> becaus</w:t>
      </w:r>
      <w:r w:rsidR="691EE2C8" w:rsidRPr="395E0093">
        <w:rPr>
          <w:rFonts w:ascii="Arial" w:eastAsia="Arial" w:hAnsi="Arial" w:cs="Arial"/>
          <w:i/>
          <w:iCs/>
          <w:color w:val="222222"/>
          <w:shd w:val="clear" w:color="auto" w:fill="FFFFFF"/>
        </w:rPr>
        <w:t>e</w:t>
      </w:r>
      <w:r w:rsidR="103690F0" w:rsidRPr="395E0093">
        <w:rPr>
          <w:rFonts w:ascii="Arial" w:eastAsia="Arial" w:hAnsi="Arial" w:cs="Arial"/>
          <w:i/>
          <w:iCs/>
          <w:color w:val="222222"/>
          <w:shd w:val="clear" w:color="auto" w:fill="FFFFFF"/>
        </w:rPr>
        <w:t xml:space="preserve"> we</w:t>
      </w:r>
      <w:r w:rsidR="691EE2C8" w:rsidRPr="395E0093">
        <w:rPr>
          <w:rFonts w:ascii="Arial" w:eastAsia="Arial" w:hAnsi="Arial" w:cs="Arial"/>
          <w:i/>
          <w:iCs/>
          <w:color w:val="222222"/>
          <w:shd w:val="clear" w:color="auto" w:fill="FFFFFF"/>
        </w:rPr>
        <w:t xml:space="preserve"> did not perform phonon calculations for th</w:t>
      </w:r>
      <w:r w:rsidR="4DCD0480" w:rsidRPr="395E0093">
        <w:rPr>
          <w:rFonts w:ascii="Arial" w:eastAsia="Arial" w:hAnsi="Arial" w:cs="Arial"/>
          <w:i/>
          <w:iCs/>
          <w:color w:val="222222"/>
          <w:shd w:val="clear" w:color="auto" w:fill="FFFFFF"/>
        </w:rPr>
        <w:t>ese</w:t>
      </w:r>
      <w:r w:rsidR="691EE2C8" w:rsidRPr="395E0093">
        <w:rPr>
          <w:rFonts w:ascii="Arial" w:eastAsia="Arial" w:hAnsi="Arial" w:cs="Arial"/>
          <w:i/>
          <w:iCs/>
          <w:color w:val="222222"/>
          <w:shd w:val="clear" w:color="auto" w:fill="FFFFFF"/>
        </w:rPr>
        <w:t xml:space="preserve"> solute-vacancy pair configurations</w:t>
      </w:r>
      <w:r w:rsidR="2D2158BE" w:rsidRPr="395E0093">
        <w:rPr>
          <w:rFonts w:ascii="Arial" w:eastAsia="Arial" w:hAnsi="Arial" w:cs="Arial"/>
          <w:i/>
          <w:iCs/>
          <w:color w:val="222222"/>
          <w:shd w:val="clear" w:color="auto" w:fill="FFFFFF"/>
        </w:rPr>
        <w:t xml:space="preserve"> in bulk Fe. However, we believe that the lack of a barrier from the CI-NEB calculations suggests that th</w:t>
      </w:r>
      <w:r w:rsidR="461E916E" w:rsidRPr="395E0093">
        <w:rPr>
          <w:rFonts w:ascii="Arial" w:eastAsia="Arial" w:hAnsi="Arial" w:cs="Arial"/>
          <w:i/>
          <w:iCs/>
          <w:color w:val="222222"/>
          <w:shd w:val="clear" w:color="auto" w:fill="FFFFFF"/>
        </w:rPr>
        <w:t>is configuration is unstable and will spontaneously decay to the 1nn configuration.</w:t>
      </w:r>
      <w:r w:rsidR="00305960">
        <w:rPr>
          <w:rFonts w:ascii="Arial" w:hAnsi="Arial" w:cs="Arial"/>
          <w:color w:val="222222"/>
        </w:rPr>
        <w:br/>
      </w:r>
      <w:r w:rsidR="00305960">
        <w:rPr>
          <w:rFonts w:ascii="Arial" w:hAnsi="Arial" w:cs="Arial"/>
          <w:color w:val="222222"/>
        </w:rPr>
        <w:br/>
      </w:r>
      <w:r w:rsidR="7A6C174B" w:rsidRPr="014E56A7">
        <w:rPr>
          <w:rFonts w:ascii="Arial" w:eastAsia="Arial" w:hAnsi="Arial" w:cs="Arial"/>
          <w:b/>
          <w:bCs/>
          <w:color w:val="222222"/>
        </w:rPr>
        <w:t>Comment #10:</w:t>
      </w:r>
    </w:p>
    <w:p w14:paraId="5FEB583A" w14:textId="77777777" w:rsidR="00C95003" w:rsidRDefault="00305960" w:rsidP="014E56A7">
      <w:pPr>
        <w:rPr>
          <w:rFonts w:ascii="Arial" w:eastAsia="Arial" w:hAnsi="Arial" w:cs="Arial"/>
          <w:color w:val="222222"/>
          <w:shd w:val="clear" w:color="auto" w:fill="FFFFFF"/>
        </w:rPr>
      </w:pPr>
      <w:r w:rsidRPr="014E56A7">
        <w:rPr>
          <w:rFonts w:ascii="Arial" w:eastAsia="Arial" w:hAnsi="Arial" w:cs="Arial"/>
          <w:color w:val="222222"/>
          <w:shd w:val="clear" w:color="auto" w:fill="FFFFFF"/>
        </w:rPr>
        <w:t>Page 11, line 27: on what basis do you claim that using the same attempt frequency for all jumps affects the diffusion prefactors by less than one order of magnitude?</w:t>
      </w:r>
    </w:p>
    <w:p w14:paraId="4C2E5921" w14:textId="77777777" w:rsidR="00C4676B" w:rsidRPr="0078250E" w:rsidRDefault="00C4676B" w:rsidP="014E56A7">
      <w:pPr>
        <w:rPr>
          <w:rFonts w:ascii="Arial" w:eastAsia="Arial" w:hAnsi="Arial" w:cs="Arial"/>
          <w:b/>
          <w:bCs/>
          <w:color w:val="222222"/>
          <w:shd w:val="clear" w:color="auto" w:fill="FFFFFF"/>
        </w:rPr>
      </w:pPr>
      <w:r w:rsidRPr="014E56A7">
        <w:rPr>
          <w:rFonts w:ascii="Arial" w:eastAsia="Arial" w:hAnsi="Arial" w:cs="Arial"/>
          <w:b/>
          <w:bCs/>
          <w:color w:val="222222"/>
          <w:shd w:val="clear" w:color="auto" w:fill="FFFFFF"/>
        </w:rPr>
        <w:t>Reply:</w:t>
      </w:r>
    </w:p>
    <w:p w14:paraId="27B96B4A" w14:textId="77777777" w:rsidR="0078250E" w:rsidRPr="00204882" w:rsidRDefault="0078250E" w:rsidP="014E56A7">
      <w:pPr>
        <w:rPr>
          <w:rFonts w:ascii="Arial" w:eastAsia="Arial" w:hAnsi="Arial" w:cs="Arial"/>
          <w:i/>
          <w:iCs/>
        </w:rPr>
      </w:pPr>
      <w:r w:rsidRPr="014E56A7">
        <w:rPr>
          <w:rFonts w:ascii="Arial" w:eastAsia="Arial" w:hAnsi="Arial" w:cs="Arial"/>
          <w:i/>
          <w:iCs/>
        </w:rPr>
        <w:t>We thank the reviewer for raising this point. The statement has been clarified and softened. In vacancy-mediated diffusion in metals, attempt frequencies typically vary within a relatively narrow range (e.g., 3–12 THz for lanthanides in BCC Fe as reported by Yang et al.) due to similar local bonding environments. This corresponds to a variation of less than one order of magnitude in the prefactor. We have revised the text to reflect this as an estimate, added clarification, and cited Yang et al.</w:t>
      </w:r>
    </w:p>
    <w:p w14:paraId="0D04471D" w14:textId="77777777" w:rsidR="005F32AA" w:rsidRDefault="00305960" w:rsidP="014E56A7">
      <w:pPr>
        <w:rPr>
          <w:rFonts w:ascii="Arial" w:eastAsia="Arial" w:hAnsi="Arial" w:cs="Arial"/>
          <w:color w:val="222222"/>
        </w:rPr>
      </w:pPr>
      <w:r w:rsidRPr="014E56A7">
        <w:rPr>
          <w:rFonts w:ascii="Arial" w:eastAsia="Arial" w:hAnsi="Arial" w:cs="Arial"/>
          <w:b/>
          <w:bCs/>
          <w:color w:val="222222"/>
        </w:rPr>
        <w:t>Comment</w:t>
      </w:r>
      <w:r w:rsidR="00BC0F36" w:rsidRPr="014E56A7">
        <w:rPr>
          <w:rFonts w:ascii="Arial" w:eastAsia="Arial" w:hAnsi="Arial" w:cs="Arial"/>
          <w:b/>
          <w:bCs/>
          <w:color w:val="222222"/>
        </w:rPr>
        <w:t xml:space="preserve"> #11</w:t>
      </w:r>
      <w:r w:rsidRPr="014E56A7">
        <w:rPr>
          <w:rFonts w:ascii="Arial" w:eastAsia="Arial" w:hAnsi="Arial" w:cs="Arial"/>
          <w:b/>
          <w:bCs/>
          <w:color w:val="222222"/>
        </w:rPr>
        <w:t>:</w:t>
      </w:r>
      <w:r>
        <w:rPr>
          <w:rFonts w:ascii="Arial" w:hAnsi="Arial" w:cs="Arial"/>
          <w:color w:val="222222"/>
        </w:rPr>
        <w:br/>
      </w:r>
      <w:r w:rsidRPr="014E56A7">
        <w:rPr>
          <w:rFonts w:ascii="Arial" w:eastAsia="Arial" w:hAnsi="Arial" w:cs="Arial"/>
          <w:color w:val="222222"/>
          <w:shd w:val="clear" w:color="auto" w:fill="FFFFFF"/>
        </w:rPr>
        <w:t xml:space="preserve">From what I understood, for bulk diffusion, all the jumps have the same attempt </w:t>
      </w:r>
      <w:r w:rsidRPr="014E56A7">
        <w:rPr>
          <w:rFonts w:ascii="Arial" w:eastAsia="Arial" w:hAnsi="Arial" w:cs="Arial"/>
          <w:color w:val="222222"/>
          <w:shd w:val="clear" w:color="auto" w:fill="FFFFFF"/>
        </w:rPr>
        <w:lastRenderedPageBreak/>
        <w:t>frequency because there are no solute-vacancy exchanges, so all jumps are considered as Fe-vacancy exchanges. It is only for surface diffusion that some solute-vacancy jumps occur with a different attempt frequency (except for U). Is that correct? It could be worth clarifying this point.</w:t>
      </w:r>
    </w:p>
    <w:p w14:paraId="0D9E0D65" w14:textId="77777777" w:rsidR="005F32AA" w:rsidRPr="00F52ABD" w:rsidRDefault="005F32AA" w:rsidP="014E56A7">
      <w:pPr>
        <w:rPr>
          <w:rFonts w:ascii="Arial" w:eastAsia="Arial" w:hAnsi="Arial" w:cs="Arial"/>
          <w:b/>
          <w:bCs/>
          <w:color w:val="222222"/>
        </w:rPr>
      </w:pPr>
      <w:r w:rsidRPr="014E56A7">
        <w:rPr>
          <w:rFonts w:ascii="Arial" w:eastAsia="Arial" w:hAnsi="Arial" w:cs="Arial"/>
          <w:b/>
          <w:bCs/>
          <w:color w:val="222222"/>
        </w:rPr>
        <w:t>Reply:</w:t>
      </w:r>
    </w:p>
    <w:p w14:paraId="6A5B6EB9" w14:textId="77777777" w:rsidR="005F32AA" w:rsidRPr="005F32AA" w:rsidRDefault="005F32AA" w:rsidP="14CFF811">
      <w:pPr>
        <w:rPr>
          <w:rFonts w:ascii="Arial" w:eastAsia="Arial" w:hAnsi="Arial" w:cs="Arial"/>
          <w:i/>
          <w:iCs/>
        </w:rPr>
      </w:pPr>
      <w:r w:rsidRPr="14CFF811">
        <w:rPr>
          <w:rFonts w:ascii="Arial" w:eastAsia="Arial" w:hAnsi="Arial" w:cs="Arial"/>
          <w:i/>
          <w:iCs/>
        </w:rPr>
        <w:t xml:space="preserve">We thank the reviewer for this observation. This understanding is correct. In the bulk diffusion calculations, all vacancy jumps correspond to Fe–vacancy exchanges, and therefore a single attempt frequency is used. In contrast, in the surface diffusion section, both Fe–vacancy and solute–vacancy exchange jumps are considered (with the exception of U), which may involve different attempt frequencies. We have clarified this point in the manuscript in the respective sections. </w:t>
      </w:r>
      <w:r w:rsidRPr="00ED7D74">
        <w:rPr>
          <w:rFonts w:ascii="Arial" w:eastAsia="Arial" w:hAnsi="Arial" w:cs="Arial"/>
          <w:i/>
          <w:iCs/>
        </w:rPr>
        <w:t xml:space="preserve">We further clarify that, unlike bulk diffusion where a literature value is adopted, the </w:t>
      </w:r>
      <w:r w:rsidRPr="14CFF811">
        <w:rPr>
          <w:rFonts w:ascii="Arial" w:eastAsia="Arial" w:hAnsi="Arial" w:cs="Arial"/>
          <w:i/>
          <w:iCs/>
        </w:rPr>
        <w:t>attempt</w:t>
      </w:r>
      <w:r w:rsidRPr="00ED7D74">
        <w:rPr>
          <w:rFonts w:ascii="Arial" w:eastAsia="Arial" w:hAnsi="Arial" w:cs="Arial"/>
          <w:i/>
          <w:iCs/>
        </w:rPr>
        <w:t xml:space="preserve"> frequencies for surface diffusion (including the Fe–vacancy jump) are obtained from the present calculations.</w:t>
      </w:r>
    </w:p>
    <w:p w14:paraId="62FDE267" w14:textId="77777777" w:rsidR="00305960" w:rsidRPr="005F32AA" w:rsidRDefault="00305960" w:rsidP="014E56A7">
      <w:pPr>
        <w:rPr>
          <w:rFonts w:ascii="Arial" w:eastAsia="Arial" w:hAnsi="Arial" w:cs="Arial"/>
          <w:color w:val="222222"/>
        </w:rPr>
      </w:pPr>
      <w:r w:rsidRPr="014E56A7">
        <w:rPr>
          <w:rFonts w:ascii="Arial" w:eastAsia="Arial" w:hAnsi="Arial" w:cs="Arial"/>
          <w:b/>
          <w:bCs/>
          <w:color w:val="222222"/>
        </w:rPr>
        <w:t>Comment</w:t>
      </w:r>
      <w:r w:rsidR="00BC0F36" w:rsidRPr="014E56A7">
        <w:rPr>
          <w:rFonts w:ascii="Arial" w:eastAsia="Arial" w:hAnsi="Arial" w:cs="Arial"/>
          <w:b/>
          <w:bCs/>
          <w:color w:val="222222"/>
        </w:rPr>
        <w:t xml:space="preserve"> #12</w:t>
      </w:r>
      <w:r w:rsidRPr="014E56A7">
        <w:rPr>
          <w:rFonts w:ascii="Arial" w:eastAsia="Arial" w:hAnsi="Arial" w:cs="Arial"/>
          <w:b/>
          <w:bCs/>
          <w:color w:val="222222"/>
        </w:rPr>
        <w:t>:</w:t>
      </w:r>
    </w:p>
    <w:p w14:paraId="6CF13853" w14:textId="77777777" w:rsidR="00C95003" w:rsidRDefault="00305960" w:rsidP="014E56A7">
      <w:pPr>
        <w:rPr>
          <w:rFonts w:ascii="Arial" w:eastAsia="Arial" w:hAnsi="Arial" w:cs="Arial"/>
          <w:color w:val="222222"/>
          <w:shd w:val="clear" w:color="auto" w:fill="FFFFFF"/>
        </w:rPr>
      </w:pPr>
      <w:r w:rsidRPr="014E56A7">
        <w:rPr>
          <w:rFonts w:ascii="Arial" w:eastAsia="Arial" w:hAnsi="Arial" w:cs="Arial"/>
          <w:color w:val="222222"/>
          <w:shd w:val="clear" w:color="auto" w:fill="FFFFFF"/>
        </w:rPr>
        <w:t>Page 13: there has been a lot of work on the evolution of diffusion parameters across the Curie point. I encourage you to read (if you haven't) and cite papers from Soisson and Fu, e.g. </w:t>
      </w:r>
      <w:hyperlink r:id="rId6" w:history="1">
        <w:r w:rsidRPr="014E56A7">
          <w:rPr>
            <w:rStyle w:val="Hyperlink"/>
            <w:rFonts w:ascii="Arial" w:eastAsia="Arial" w:hAnsi="Arial" w:cs="Arial"/>
            <w:color w:val="1155CC"/>
            <w:shd w:val="clear" w:color="auto" w:fill="FFFFFF"/>
          </w:rPr>
          <w:t>https://doi.org/10.1103/PhysRevLett.124.215901</w:t>
        </w:r>
      </w:hyperlink>
      <w:r w:rsidRPr="014E56A7">
        <w:rPr>
          <w:rFonts w:ascii="Arial" w:eastAsia="Arial" w:hAnsi="Arial" w:cs="Arial"/>
          <w:color w:val="222222"/>
          <w:shd w:val="clear" w:color="auto" w:fill="FFFFFF"/>
        </w:rPr>
        <w:t>.</w:t>
      </w:r>
    </w:p>
    <w:p w14:paraId="7134D8EA" w14:textId="77777777" w:rsidR="00B63AF7" w:rsidRPr="00E13BAC" w:rsidRDefault="00B63AF7" w:rsidP="014E56A7">
      <w:pPr>
        <w:rPr>
          <w:rFonts w:ascii="Arial" w:eastAsia="Arial" w:hAnsi="Arial" w:cs="Arial"/>
          <w:b/>
          <w:bCs/>
          <w:color w:val="222222"/>
          <w:shd w:val="clear" w:color="auto" w:fill="FFFFFF"/>
        </w:rPr>
      </w:pPr>
      <w:r w:rsidRPr="014E56A7">
        <w:rPr>
          <w:rFonts w:ascii="Arial" w:eastAsia="Arial" w:hAnsi="Arial" w:cs="Arial"/>
          <w:b/>
          <w:bCs/>
          <w:color w:val="222222"/>
          <w:shd w:val="clear" w:color="auto" w:fill="FFFFFF"/>
        </w:rPr>
        <w:t>Reply:</w:t>
      </w:r>
    </w:p>
    <w:p w14:paraId="20BD3B6F" w14:textId="77777777" w:rsidR="00B63AF7" w:rsidRPr="00E13BAC" w:rsidRDefault="00B63AF7" w:rsidP="014E56A7">
      <w:pPr>
        <w:rPr>
          <w:rFonts w:ascii="Arial" w:eastAsia="Arial" w:hAnsi="Arial" w:cs="Arial"/>
          <w:i/>
          <w:iCs/>
          <w:color w:val="222222"/>
        </w:rPr>
      </w:pPr>
      <w:r w:rsidRPr="014E56A7">
        <w:rPr>
          <w:rFonts w:ascii="Arial" w:eastAsia="Arial" w:hAnsi="Arial" w:cs="Arial"/>
          <w:i/>
          <w:iCs/>
        </w:rPr>
        <w:t xml:space="preserve">We thank the reviewer for pointing out the relevant work on the evolution of diffusion parameters across the Curie temperature. We have now cited the studies by Soisson and Fu </w:t>
      </w:r>
      <w:r w:rsidR="00E13BAC" w:rsidRPr="014E56A7">
        <w:rPr>
          <w:rFonts w:ascii="Arial" w:eastAsia="Arial" w:hAnsi="Arial" w:cs="Arial"/>
          <w:i/>
          <w:iCs/>
        </w:rPr>
        <w:t>(Schneider et al. 2020 and Li et al. 2023)</w:t>
      </w:r>
      <w:r w:rsidRPr="014E56A7">
        <w:rPr>
          <w:rFonts w:ascii="Arial" w:eastAsia="Arial" w:hAnsi="Arial" w:cs="Arial"/>
          <w:i/>
          <w:iCs/>
        </w:rPr>
        <w:t xml:space="preserve"> in the manuscript. We note that our calculations are limited to temperatures up to the Curie point</w:t>
      </w:r>
      <w:r w:rsidR="00E13BAC" w:rsidRPr="014E56A7">
        <w:rPr>
          <w:rFonts w:ascii="Arial" w:eastAsia="Arial" w:hAnsi="Arial" w:cs="Arial"/>
          <w:i/>
          <w:iCs/>
        </w:rPr>
        <w:t>.</w:t>
      </w:r>
    </w:p>
    <w:p w14:paraId="02644D40" w14:textId="77777777" w:rsidR="00305960" w:rsidRDefault="00305960" w:rsidP="014E56A7">
      <w:pPr>
        <w:rPr>
          <w:rFonts w:ascii="Arial" w:eastAsia="Arial" w:hAnsi="Arial" w:cs="Arial"/>
          <w:color w:val="222222"/>
          <w:shd w:val="clear" w:color="auto" w:fill="FFFFFF"/>
        </w:rPr>
      </w:pPr>
      <w:r w:rsidRPr="014E56A7">
        <w:rPr>
          <w:rFonts w:ascii="Arial" w:eastAsia="Arial" w:hAnsi="Arial" w:cs="Arial"/>
          <w:b/>
          <w:bCs/>
          <w:color w:val="222222"/>
        </w:rPr>
        <w:t>Comment</w:t>
      </w:r>
      <w:r w:rsidR="00BC0F36" w:rsidRPr="014E56A7">
        <w:rPr>
          <w:rFonts w:ascii="Arial" w:eastAsia="Arial" w:hAnsi="Arial" w:cs="Arial"/>
          <w:b/>
          <w:bCs/>
          <w:color w:val="222222"/>
        </w:rPr>
        <w:t xml:space="preserve"> #13</w:t>
      </w:r>
      <w:r w:rsidRPr="014E56A7">
        <w:rPr>
          <w:rFonts w:ascii="Arial" w:eastAsia="Arial" w:hAnsi="Arial" w:cs="Arial"/>
          <w:b/>
          <w:bCs/>
          <w:color w:val="222222"/>
        </w:rPr>
        <w:t>:</w:t>
      </w:r>
    </w:p>
    <w:p w14:paraId="7B0C3E9C" w14:textId="77777777" w:rsidR="004D7A81" w:rsidRDefault="00305960" w:rsidP="014E56A7">
      <w:pPr>
        <w:rPr>
          <w:rFonts w:ascii="Arial" w:eastAsia="Arial" w:hAnsi="Arial" w:cs="Arial"/>
          <w:color w:val="222222"/>
          <w:shd w:val="clear" w:color="auto" w:fill="FFFFFF"/>
        </w:rPr>
      </w:pPr>
      <w:r w:rsidRPr="014E56A7">
        <w:rPr>
          <w:rFonts w:ascii="Arial" w:eastAsia="Arial" w:hAnsi="Arial" w:cs="Arial"/>
          <w:color w:val="222222"/>
          <w:shd w:val="clear" w:color="auto" w:fill="FFFFFF"/>
        </w:rPr>
        <w:t>Page 13 line 50: note that this might be a rather large assumption, because the solute is precisely interacting with the vacancy, so it will necessarily affect magnetism. In my opinion it is very likely that this assumption is not correct, yet it would be perfectly fine to say that at the moment, there is no data to build a more precise model.</w:t>
      </w:r>
    </w:p>
    <w:p w14:paraId="361C89E4" w14:textId="77777777" w:rsidR="004D7A81" w:rsidRPr="004D7A81" w:rsidRDefault="004D7A81" w:rsidP="014E56A7">
      <w:pPr>
        <w:rPr>
          <w:rFonts w:ascii="Arial" w:eastAsia="Arial" w:hAnsi="Arial" w:cs="Arial"/>
          <w:b/>
          <w:bCs/>
          <w:color w:val="222222"/>
          <w:shd w:val="clear" w:color="auto" w:fill="FFFFFF"/>
        </w:rPr>
      </w:pPr>
      <w:r w:rsidRPr="014E56A7">
        <w:rPr>
          <w:rFonts w:ascii="Arial" w:eastAsia="Arial" w:hAnsi="Arial" w:cs="Arial"/>
          <w:b/>
          <w:bCs/>
          <w:color w:val="222222"/>
          <w:shd w:val="clear" w:color="auto" w:fill="FFFFFF"/>
        </w:rPr>
        <w:t>Reply:</w:t>
      </w:r>
    </w:p>
    <w:p w14:paraId="2CDA3757" w14:textId="77777777" w:rsidR="00305960" w:rsidRDefault="004D7A81" w:rsidP="014E56A7">
      <w:pPr>
        <w:rPr>
          <w:rFonts w:ascii="Arial" w:eastAsia="Arial" w:hAnsi="Arial" w:cs="Arial"/>
          <w:color w:val="222222"/>
          <w:shd w:val="clear" w:color="auto" w:fill="FFFFFF"/>
        </w:rPr>
      </w:pPr>
      <w:r w:rsidRPr="014E56A7">
        <w:rPr>
          <w:rFonts w:ascii="Arial" w:eastAsia="Arial" w:hAnsi="Arial" w:cs="Arial"/>
          <w:i/>
          <w:iCs/>
        </w:rPr>
        <w:t>We thank the reviewer for highlighting this important point. We agree that the presence of a solute atom could locally affect the magnetic state and thus influence vacancy migration properties, and that our assumption represents a simplification. We have revised the manuscript to explicitly acknowledge this limitation, stating that this is a strong approximation and that, to our knowledge, there are currently no data available to develop a more precise model.</w:t>
      </w:r>
      <w:r>
        <w:br/>
      </w:r>
      <w:r>
        <w:lastRenderedPageBreak/>
        <w:br/>
      </w:r>
      <w:r w:rsidR="00305960" w:rsidRPr="014E56A7">
        <w:rPr>
          <w:rFonts w:ascii="Arial" w:eastAsia="Arial" w:hAnsi="Arial" w:cs="Arial"/>
          <w:b/>
          <w:bCs/>
          <w:color w:val="222222"/>
        </w:rPr>
        <w:t>Comment</w:t>
      </w:r>
      <w:r w:rsidR="00BC0F36" w:rsidRPr="014E56A7">
        <w:rPr>
          <w:rFonts w:ascii="Arial" w:eastAsia="Arial" w:hAnsi="Arial" w:cs="Arial"/>
          <w:b/>
          <w:bCs/>
          <w:color w:val="222222"/>
        </w:rPr>
        <w:t xml:space="preserve"> #14:</w:t>
      </w:r>
    </w:p>
    <w:p w14:paraId="2ACCAC9E" w14:textId="77777777" w:rsidR="00305960" w:rsidRDefault="7A6C174B" w:rsidP="395E0093">
      <w:pPr>
        <w:rPr>
          <w:rFonts w:ascii="Arial" w:eastAsia="Arial" w:hAnsi="Arial" w:cs="Arial"/>
          <w:color w:val="222222"/>
        </w:rPr>
      </w:pPr>
      <w:r w:rsidRPr="014E56A7">
        <w:rPr>
          <w:rFonts w:ascii="Arial" w:eastAsia="Arial" w:hAnsi="Arial" w:cs="Arial"/>
          <w:color w:val="222222"/>
          <w:shd w:val="clear" w:color="auto" w:fill="FFFFFF"/>
        </w:rPr>
        <w:t>Page 13 line 58: what do you call vacancy-solute exchange in table 3? Because earlier you explained that there was no vacancy solute-exchanges with OSA. Some clarification is required here.</w:t>
      </w:r>
    </w:p>
    <w:p w14:paraId="3EB30FFA" w14:textId="77777777" w:rsidR="00305960" w:rsidRDefault="60C50E89" w:rsidP="395E0093">
      <w:pPr>
        <w:rPr>
          <w:rFonts w:ascii="Arial" w:eastAsia="Arial" w:hAnsi="Arial" w:cs="Arial"/>
          <w:b/>
          <w:bCs/>
          <w:color w:val="222222"/>
        </w:rPr>
      </w:pPr>
      <w:r w:rsidRPr="395E0093">
        <w:rPr>
          <w:rFonts w:ascii="Arial" w:eastAsia="Arial" w:hAnsi="Arial" w:cs="Arial"/>
          <w:b/>
          <w:bCs/>
          <w:color w:val="222222"/>
        </w:rPr>
        <w:t>Reply:</w:t>
      </w:r>
    </w:p>
    <w:p w14:paraId="63727864" w14:textId="26167D73" w:rsidR="00305960" w:rsidRDefault="60C50E89" w:rsidP="395E0093">
      <w:pPr>
        <w:rPr>
          <w:rFonts w:ascii="Arial" w:eastAsia="Arial" w:hAnsi="Arial" w:cs="Arial"/>
          <w:b/>
          <w:bCs/>
          <w:color w:val="222222"/>
        </w:rPr>
      </w:pPr>
      <w:r w:rsidRPr="395E0093">
        <w:rPr>
          <w:rFonts w:ascii="Arial" w:eastAsia="Arial" w:hAnsi="Arial" w:cs="Arial"/>
          <w:i/>
          <w:iCs/>
        </w:rPr>
        <w:t>We thank the reviewer for pointing out this. There are actually no solute-vacancy exchanges in table 3.</w:t>
      </w:r>
      <w:r w:rsidR="78341618" w:rsidRPr="395E0093">
        <w:rPr>
          <w:rFonts w:ascii="Arial" w:eastAsia="Arial" w:hAnsi="Arial" w:cs="Arial"/>
          <w:i/>
          <w:iCs/>
        </w:rPr>
        <w:t xml:space="preserve"> A clarification was added to the table caption.</w:t>
      </w:r>
    </w:p>
    <w:p w14:paraId="73E3CD95" w14:textId="77777777" w:rsidR="00305960" w:rsidRDefault="00305960" w:rsidP="014E56A7">
      <w:pPr>
        <w:rPr>
          <w:rFonts w:ascii="Arial" w:eastAsia="Arial" w:hAnsi="Arial" w:cs="Arial"/>
          <w:color w:val="222222"/>
          <w:shd w:val="clear" w:color="auto" w:fill="FFFFFF"/>
        </w:rPr>
      </w:pPr>
      <w:r>
        <w:rPr>
          <w:rFonts w:ascii="Arial" w:hAnsi="Arial" w:cs="Arial"/>
          <w:color w:val="222222"/>
        </w:rPr>
        <w:br/>
      </w:r>
      <w:r>
        <w:rPr>
          <w:rFonts w:ascii="Arial" w:hAnsi="Arial" w:cs="Arial"/>
          <w:color w:val="222222"/>
        </w:rPr>
        <w:br/>
      </w:r>
      <w:r w:rsidR="7A6C174B" w:rsidRPr="014E56A7">
        <w:rPr>
          <w:rFonts w:ascii="Arial" w:eastAsia="Arial" w:hAnsi="Arial" w:cs="Arial"/>
          <w:b/>
          <w:bCs/>
          <w:color w:val="222222"/>
        </w:rPr>
        <w:t>Comment</w:t>
      </w:r>
      <w:r w:rsidR="68D9C341" w:rsidRPr="014E56A7">
        <w:rPr>
          <w:rFonts w:ascii="Arial" w:eastAsia="Arial" w:hAnsi="Arial" w:cs="Arial"/>
          <w:b/>
          <w:bCs/>
          <w:color w:val="222222"/>
        </w:rPr>
        <w:t xml:space="preserve"> #15</w:t>
      </w:r>
      <w:r w:rsidR="7A6C174B" w:rsidRPr="014E56A7">
        <w:rPr>
          <w:rFonts w:ascii="Arial" w:eastAsia="Arial" w:hAnsi="Arial" w:cs="Arial"/>
          <w:b/>
          <w:bCs/>
          <w:color w:val="222222"/>
        </w:rPr>
        <w:t>:</w:t>
      </w:r>
    </w:p>
    <w:p w14:paraId="08E6E2DC" w14:textId="77777777" w:rsidR="00C95003" w:rsidRDefault="00305960" w:rsidP="014E56A7">
      <w:pPr>
        <w:rPr>
          <w:rFonts w:ascii="Arial" w:eastAsia="Arial" w:hAnsi="Arial" w:cs="Arial"/>
          <w:color w:val="222222"/>
          <w:shd w:val="clear" w:color="auto" w:fill="FFFFFF"/>
        </w:rPr>
      </w:pPr>
      <w:r w:rsidRPr="014E56A7">
        <w:rPr>
          <w:rFonts w:ascii="Arial" w:eastAsia="Arial" w:hAnsi="Arial" w:cs="Arial"/>
          <w:color w:val="222222"/>
          <w:shd w:val="clear" w:color="auto" w:fill="FFFFFF"/>
        </w:rPr>
        <w:t>Last sentence of page 13: I am not sure about that conclusion. The interaction between the solute and the vacancy can do two things (Eq. 3): increase the number of vacancies and/or affect the cluster transport coefficients. Even without drag, attractive binding will increase the number of vacancies around the solute and therefore its diffusion coefficient with respect to solvent atoms. If this thermodynamic effect alone is not sufficient to explain the difference in activation energy, then there is something more going on from a kinetic point of view. This is something to be studied in more depth to really understand why solutes diffuse faster than Fe atoms.</w:t>
      </w:r>
    </w:p>
    <w:p w14:paraId="13B13B80" w14:textId="77777777" w:rsidR="00AE4558" w:rsidRPr="00AE4558" w:rsidRDefault="00AE4558" w:rsidP="014E56A7">
      <w:pPr>
        <w:rPr>
          <w:rFonts w:ascii="Arial" w:eastAsia="Arial" w:hAnsi="Arial" w:cs="Arial"/>
          <w:b/>
          <w:bCs/>
          <w:color w:val="222222"/>
          <w:shd w:val="clear" w:color="auto" w:fill="FFFFFF"/>
        </w:rPr>
      </w:pPr>
      <w:r w:rsidRPr="014E56A7">
        <w:rPr>
          <w:rFonts w:ascii="Arial" w:eastAsia="Arial" w:hAnsi="Arial" w:cs="Arial"/>
          <w:b/>
          <w:bCs/>
          <w:color w:val="222222"/>
          <w:shd w:val="clear" w:color="auto" w:fill="FFFFFF"/>
        </w:rPr>
        <w:t>Reply:</w:t>
      </w:r>
    </w:p>
    <w:p w14:paraId="61588B4C" w14:textId="77777777" w:rsidR="00AE4558" w:rsidRPr="00FD7DC2" w:rsidRDefault="00AE4558" w:rsidP="014E56A7">
      <w:pPr>
        <w:rPr>
          <w:rFonts w:ascii="Arial" w:eastAsia="Arial" w:hAnsi="Arial" w:cs="Arial"/>
          <w:i/>
          <w:iCs/>
          <w:color w:val="222222"/>
        </w:rPr>
      </w:pPr>
      <w:r w:rsidRPr="014E56A7">
        <w:rPr>
          <w:rFonts w:ascii="Arial" w:eastAsia="Arial" w:hAnsi="Arial" w:cs="Arial"/>
          <w:i/>
          <w:iCs/>
        </w:rPr>
        <w:t xml:space="preserve">We thank the reviewer for this important comment. We note that in our SCMF analysis, each cluster contains only a single solute and a single vacancy. As a result, the thermodynamic enhancement of diffusion due to multiple vacancies accumulating around the solute is not captured in our model. Within this single-solute–single-vacancy framework, the observed increase in solute diffusivity relative to Fe is entirely attributed to vacancy drag. We acknowledge that in reality, thermodynamic enrichment of vacancies around solutes could also contribute, and additional studies with larger clusters would be needed to fully </w:t>
      </w:r>
      <w:r w:rsidR="00FD7DC2" w:rsidRPr="014E56A7">
        <w:rPr>
          <w:rFonts w:ascii="Arial" w:eastAsia="Arial" w:hAnsi="Arial" w:cs="Arial"/>
          <w:i/>
          <w:iCs/>
        </w:rPr>
        <w:t>understand</w:t>
      </w:r>
      <w:r w:rsidRPr="014E56A7">
        <w:rPr>
          <w:rFonts w:ascii="Arial" w:eastAsia="Arial" w:hAnsi="Arial" w:cs="Arial"/>
          <w:i/>
          <w:iCs/>
        </w:rPr>
        <w:t xml:space="preserve"> these effects.</w:t>
      </w:r>
    </w:p>
    <w:p w14:paraId="14296388" w14:textId="77777777" w:rsidR="00305960" w:rsidRDefault="00305960" w:rsidP="014E56A7">
      <w:pPr>
        <w:rPr>
          <w:rFonts w:ascii="Arial" w:eastAsia="Arial" w:hAnsi="Arial" w:cs="Arial"/>
          <w:color w:val="222222"/>
          <w:shd w:val="clear" w:color="auto" w:fill="FFFFFF"/>
        </w:rPr>
      </w:pPr>
      <w:r w:rsidRPr="014E56A7">
        <w:rPr>
          <w:rFonts w:ascii="Arial" w:eastAsia="Arial" w:hAnsi="Arial" w:cs="Arial"/>
          <w:b/>
          <w:bCs/>
          <w:color w:val="222222"/>
        </w:rPr>
        <w:t>Comment</w:t>
      </w:r>
      <w:r w:rsidR="00E352EF" w:rsidRPr="014E56A7">
        <w:rPr>
          <w:rFonts w:ascii="Arial" w:eastAsia="Arial" w:hAnsi="Arial" w:cs="Arial"/>
          <w:b/>
          <w:bCs/>
          <w:color w:val="222222"/>
        </w:rPr>
        <w:t xml:space="preserve"> #16</w:t>
      </w:r>
      <w:r w:rsidRPr="014E56A7">
        <w:rPr>
          <w:rFonts w:ascii="Arial" w:eastAsia="Arial" w:hAnsi="Arial" w:cs="Arial"/>
          <w:b/>
          <w:bCs/>
          <w:color w:val="222222"/>
        </w:rPr>
        <w:t>:</w:t>
      </w:r>
    </w:p>
    <w:p w14:paraId="2AFCA1B5" w14:textId="77777777" w:rsidR="00C95003" w:rsidRDefault="00305960" w:rsidP="014E56A7">
      <w:pPr>
        <w:rPr>
          <w:rFonts w:ascii="Arial" w:eastAsia="Arial" w:hAnsi="Arial" w:cs="Arial"/>
          <w:color w:val="222222"/>
          <w:shd w:val="clear" w:color="auto" w:fill="FFFFFF"/>
        </w:rPr>
      </w:pPr>
      <w:r w:rsidRPr="014E56A7">
        <w:rPr>
          <w:rFonts w:ascii="Arial" w:eastAsia="Arial" w:hAnsi="Arial" w:cs="Arial"/>
          <w:color w:val="222222"/>
          <w:shd w:val="clear" w:color="auto" w:fill="FFFFFF"/>
        </w:rPr>
        <w:t>Fig. 6: it would be nice if these plots would also contain the Fe self-diffusion coefficient reference to emphasize the fact that diffusion is faster.</w:t>
      </w:r>
    </w:p>
    <w:p w14:paraId="333B6992" w14:textId="77777777" w:rsidR="0022572E" w:rsidRPr="0022572E" w:rsidRDefault="0022572E" w:rsidP="014E56A7">
      <w:pPr>
        <w:rPr>
          <w:rFonts w:ascii="Arial" w:eastAsia="Arial" w:hAnsi="Arial" w:cs="Arial"/>
          <w:b/>
          <w:bCs/>
          <w:color w:val="222222"/>
          <w:shd w:val="clear" w:color="auto" w:fill="FFFFFF"/>
        </w:rPr>
      </w:pPr>
      <w:r w:rsidRPr="014E56A7">
        <w:rPr>
          <w:rFonts w:ascii="Arial" w:eastAsia="Arial" w:hAnsi="Arial" w:cs="Arial"/>
          <w:b/>
          <w:bCs/>
          <w:color w:val="222222"/>
          <w:shd w:val="clear" w:color="auto" w:fill="FFFFFF"/>
        </w:rPr>
        <w:t>Reply:</w:t>
      </w:r>
    </w:p>
    <w:p w14:paraId="3B9C10EE" w14:textId="77777777" w:rsidR="0022572E" w:rsidRPr="0022572E" w:rsidRDefault="0022572E" w:rsidP="014E56A7">
      <w:pPr>
        <w:rPr>
          <w:rFonts w:ascii="Arial" w:eastAsia="Arial" w:hAnsi="Arial" w:cs="Arial"/>
          <w:i/>
          <w:iCs/>
          <w:color w:val="222222"/>
        </w:rPr>
      </w:pPr>
      <w:r w:rsidRPr="014E56A7">
        <w:rPr>
          <w:rFonts w:ascii="Arial" w:eastAsia="Arial" w:hAnsi="Arial" w:cs="Arial"/>
          <w:i/>
          <w:iCs/>
        </w:rPr>
        <w:t xml:space="preserve">We thank the reviewer for this suggestion. Figure 6 is intended to compare our calculated bulk solute diffusivities directly with available literature values for the same solutes. Adding Fe self-diffusivities could make the figure more crowded and potentially </w:t>
      </w:r>
      <w:r w:rsidRPr="014E56A7">
        <w:rPr>
          <w:rFonts w:ascii="Arial" w:eastAsia="Arial" w:hAnsi="Arial" w:cs="Arial"/>
          <w:i/>
          <w:iCs/>
        </w:rPr>
        <w:lastRenderedPageBreak/>
        <w:t>reduce clarity. To illustrate that solutes diffuse faster than Fe, we already present both solute and Fe self-diffusivities (bulk and surface) in Figure 10. We have added a note to the Figure 6 caption directing readers to Figure 10 for this comparison, and clarifying that the values in Figure 10 are shown without the magnetic correction.</w:t>
      </w:r>
    </w:p>
    <w:p w14:paraId="4266A82E" w14:textId="77777777" w:rsidR="00305960" w:rsidRDefault="00305960" w:rsidP="014E56A7">
      <w:pPr>
        <w:rPr>
          <w:rFonts w:ascii="Arial" w:eastAsia="Arial" w:hAnsi="Arial" w:cs="Arial"/>
          <w:color w:val="222222"/>
          <w:shd w:val="clear" w:color="auto" w:fill="FFFFFF"/>
        </w:rPr>
      </w:pPr>
      <w:r w:rsidRPr="014E56A7">
        <w:rPr>
          <w:rFonts w:ascii="Arial" w:eastAsia="Arial" w:hAnsi="Arial" w:cs="Arial"/>
          <w:b/>
          <w:bCs/>
          <w:color w:val="222222"/>
        </w:rPr>
        <w:t>Comment</w:t>
      </w:r>
      <w:r w:rsidR="00513701" w:rsidRPr="014E56A7">
        <w:rPr>
          <w:rFonts w:ascii="Arial" w:eastAsia="Arial" w:hAnsi="Arial" w:cs="Arial"/>
          <w:b/>
          <w:bCs/>
          <w:color w:val="222222"/>
        </w:rPr>
        <w:t xml:space="preserve"> #17</w:t>
      </w:r>
      <w:r w:rsidRPr="014E56A7">
        <w:rPr>
          <w:rFonts w:ascii="Arial" w:eastAsia="Arial" w:hAnsi="Arial" w:cs="Arial"/>
          <w:b/>
          <w:bCs/>
          <w:color w:val="222222"/>
        </w:rPr>
        <w:t>:</w:t>
      </w:r>
    </w:p>
    <w:p w14:paraId="14BB84FC" w14:textId="77777777" w:rsidR="00C95003" w:rsidRDefault="00305960" w:rsidP="014E56A7">
      <w:pPr>
        <w:rPr>
          <w:rFonts w:ascii="Arial" w:eastAsia="Arial" w:hAnsi="Arial" w:cs="Arial"/>
          <w:color w:val="222222"/>
          <w:shd w:val="clear" w:color="auto" w:fill="FFFFFF"/>
        </w:rPr>
      </w:pPr>
      <w:r w:rsidRPr="014E56A7">
        <w:rPr>
          <w:rFonts w:ascii="Arial" w:eastAsia="Arial" w:hAnsi="Arial" w:cs="Arial"/>
          <w:color w:val="222222"/>
          <w:shd w:val="clear" w:color="auto" w:fill="FFFFFF"/>
        </w:rPr>
        <w:t>Equation 17: you should provide the vacancy formation energy at layer 3 to see how different it is from the vacancy formation energy in the bulk.</w:t>
      </w:r>
    </w:p>
    <w:p w14:paraId="2FFD07EB" w14:textId="77777777" w:rsidR="0022572E" w:rsidRPr="0022572E" w:rsidRDefault="0022572E" w:rsidP="014E56A7">
      <w:pPr>
        <w:rPr>
          <w:rFonts w:ascii="Arial" w:eastAsia="Arial" w:hAnsi="Arial" w:cs="Arial"/>
          <w:b/>
          <w:bCs/>
          <w:color w:val="222222"/>
          <w:shd w:val="clear" w:color="auto" w:fill="FFFFFF"/>
        </w:rPr>
      </w:pPr>
      <w:r w:rsidRPr="014E56A7">
        <w:rPr>
          <w:rFonts w:ascii="Arial" w:eastAsia="Arial" w:hAnsi="Arial" w:cs="Arial"/>
          <w:b/>
          <w:bCs/>
          <w:color w:val="222222"/>
          <w:shd w:val="clear" w:color="auto" w:fill="FFFFFF"/>
        </w:rPr>
        <w:t>Reply:</w:t>
      </w:r>
    </w:p>
    <w:p w14:paraId="516EAA6F" w14:textId="77777777" w:rsidR="0022572E" w:rsidRPr="0022572E" w:rsidRDefault="0022572E" w:rsidP="014E56A7">
      <w:pPr>
        <w:rPr>
          <w:rFonts w:ascii="Arial" w:eastAsia="Arial" w:hAnsi="Arial" w:cs="Arial"/>
          <w:i/>
          <w:iCs/>
          <w:color w:val="222222"/>
        </w:rPr>
      </w:pPr>
      <w:r w:rsidRPr="014E56A7">
        <w:rPr>
          <w:rFonts w:ascii="Arial" w:eastAsia="Arial" w:hAnsi="Arial" w:cs="Arial"/>
          <w:i/>
          <w:iCs/>
        </w:rPr>
        <w:t>We thank the reviewer for this comment. The vacancy formation energy in the third layer of the slab, which we use as the bulk-like reference, is 2.43 eV, slightly higher than the fully periodic bulk value of 2.22 eV. This small difference arises from residual surface relaxation and finite-slab effects. Using the third layer as the reference ensures internal consistency within the slab calculation and avoids potential artifacts from comparing to a separate bulk supercell. We have added this information to the manuscript for clarity.</w:t>
      </w:r>
    </w:p>
    <w:p w14:paraId="672A6659" w14:textId="77777777" w:rsidR="00C95003" w:rsidRDefault="00C95003" w:rsidP="014E56A7">
      <w:pPr>
        <w:rPr>
          <w:rFonts w:ascii="Arial" w:eastAsia="Arial" w:hAnsi="Arial" w:cs="Arial"/>
          <w:color w:val="222222"/>
        </w:rPr>
      </w:pPr>
      <w:r w:rsidRPr="014E56A7">
        <w:rPr>
          <w:rFonts w:ascii="Arial" w:eastAsia="Arial" w:hAnsi="Arial" w:cs="Arial"/>
          <w:color w:val="222222"/>
        </w:rPr>
        <w:br w:type="page"/>
      </w:r>
    </w:p>
    <w:p w14:paraId="1E691D4F" w14:textId="77777777" w:rsidR="00305960" w:rsidRDefault="00305960" w:rsidP="014E56A7">
      <w:pPr>
        <w:rPr>
          <w:rFonts w:ascii="Arial" w:eastAsia="Arial" w:hAnsi="Arial" w:cs="Arial"/>
          <w:color w:val="222222"/>
          <w:shd w:val="clear" w:color="auto" w:fill="FFFFFF"/>
        </w:rPr>
      </w:pPr>
      <w:r w:rsidRPr="014E56A7">
        <w:rPr>
          <w:rFonts w:ascii="Arial" w:eastAsia="Arial" w:hAnsi="Arial" w:cs="Arial"/>
          <w:b/>
          <w:bCs/>
          <w:color w:val="222222"/>
          <w:shd w:val="clear" w:color="auto" w:fill="FFFFFF"/>
        </w:rPr>
        <w:lastRenderedPageBreak/>
        <w:t>Reviewer #2:</w:t>
      </w:r>
    </w:p>
    <w:p w14:paraId="5F00F6C7" w14:textId="77777777" w:rsidR="00CF28B8" w:rsidRDefault="00305960" w:rsidP="014E56A7">
      <w:pPr>
        <w:rPr>
          <w:rFonts w:ascii="Arial" w:eastAsia="Arial" w:hAnsi="Arial" w:cs="Arial"/>
          <w:color w:val="222222"/>
          <w:shd w:val="clear" w:color="auto" w:fill="FFFFFF"/>
        </w:rPr>
      </w:pPr>
      <w:r w:rsidRPr="014E56A7">
        <w:rPr>
          <w:rFonts w:ascii="Arial" w:eastAsia="Arial" w:hAnsi="Arial" w:cs="Arial"/>
          <w:color w:val="222222"/>
          <w:shd w:val="clear" w:color="auto" w:fill="FFFFFF"/>
        </w:rPr>
        <w:t>The article provides a computational study on vacancy-mediated diffusion of single Ce, Nd, U, and Pu in bulk and on the (110) surface of bcc-Fe with the goal of contributing data for a multiscale FCCI-model.</w:t>
      </w:r>
      <w:r>
        <w:rPr>
          <w:rFonts w:ascii="Arial" w:hAnsi="Arial" w:cs="Arial"/>
          <w:color w:val="222222"/>
        </w:rPr>
        <w:br/>
      </w:r>
      <w:r w:rsidRPr="014E56A7">
        <w:rPr>
          <w:rFonts w:ascii="Arial" w:eastAsia="Arial" w:hAnsi="Arial" w:cs="Arial"/>
          <w:color w:val="222222"/>
          <w:shd w:val="clear" w:color="auto" w:fill="FFFFFF"/>
        </w:rPr>
        <w:t>The authors calculate an extensive list of vacancy diffusion barriers using GGA-DFT with NEB and use subsequently the software KineClue to calculate an averaged diffusion coefficient within an SCMF framework. The work is well structured and positioned within existing literature. However, some assumptions and the therefrom following conclusions seem unrealistic or too far-fetched, as follows:</w:t>
      </w:r>
      <w:r>
        <w:rPr>
          <w:rFonts w:ascii="Arial" w:hAnsi="Arial" w:cs="Arial"/>
          <w:color w:val="222222"/>
        </w:rPr>
        <w:br/>
      </w:r>
      <w:r>
        <w:rPr>
          <w:rFonts w:ascii="Arial" w:hAnsi="Arial" w:cs="Arial"/>
          <w:color w:val="222222"/>
        </w:rPr>
        <w:br/>
      </w:r>
      <w:r w:rsidR="00CF28B8" w:rsidRPr="014E56A7">
        <w:rPr>
          <w:rFonts w:ascii="Arial" w:eastAsia="Arial" w:hAnsi="Arial" w:cs="Arial"/>
          <w:b/>
          <w:bCs/>
          <w:color w:val="222222"/>
        </w:rPr>
        <w:t>Comment #1:</w:t>
      </w:r>
    </w:p>
    <w:p w14:paraId="69B9696E" w14:textId="77777777" w:rsidR="0038634E" w:rsidRDefault="00305960" w:rsidP="014E56A7">
      <w:pPr>
        <w:rPr>
          <w:rFonts w:ascii="Arial" w:eastAsia="Arial" w:hAnsi="Arial" w:cs="Arial"/>
          <w:color w:val="222222"/>
          <w:shd w:val="clear" w:color="auto" w:fill="FFFFFF"/>
        </w:rPr>
      </w:pPr>
      <w:r w:rsidRPr="014E56A7">
        <w:rPr>
          <w:rFonts w:ascii="Arial" w:eastAsia="Arial" w:hAnsi="Arial" w:cs="Arial"/>
          <w:color w:val="222222"/>
          <w:shd w:val="clear" w:color="auto" w:fill="FFFFFF"/>
        </w:rPr>
        <w:t>For the investigated lanthanides and actinides classical GGA-DFT often comes to its limits because of the correlated nature of their localized 4f/5f valence electrons. Especially, since the paper aims to provide quantitative values for diffusion coefficients, it would strengthen the work to discuss how the inclusion of Hubbard U-corrections and/or spin-orbit coupling influences the results and to discuss the limitations of the employed GAA-DFT methodology. It would be even better if e.g., convergence results could be provided to back-up the used methodology and give an estimate on the error-bar.</w:t>
      </w:r>
    </w:p>
    <w:p w14:paraId="0170245E" w14:textId="77777777" w:rsidR="0038634E" w:rsidRPr="0038634E" w:rsidRDefault="0038634E" w:rsidP="014E56A7">
      <w:pPr>
        <w:rPr>
          <w:rFonts w:ascii="Arial" w:eastAsia="Arial" w:hAnsi="Arial" w:cs="Arial"/>
          <w:b/>
          <w:bCs/>
          <w:color w:val="222222"/>
          <w:shd w:val="clear" w:color="auto" w:fill="FFFFFF"/>
        </w:rPr>
      </w:pPr>
      <w:r w:rsidRPr="014E56A7">
        <w:rPr>
          <w:rFonts w:ascii="Arial" w:eastAsia="Arial" w:hAnsi="Arial" w:cs="Arial"/>
          <w:b/>
          <w:bCs/>
          <w:color w:val="222222"/>
          <w:shd w:val="clear" w:color="auto" w:fill="FFFFFF"/>
        </w:rPr>
        <w:t>Reply:</w:t>
      </w:r>
    </w:p>
    <w:p w14:paraId="3A1724C5" w14:textId="49AA5195" w:rsidR="0038634E" w:rsidRPr="0038634E" w:rsidRDefault="33B08799" w:rsidP="395E0093">
      <w:pPr>
        <w:rPr>
          <w:rFonts w:ascii="Arial" w:eastAsia="Arial" w:hAnsi="Arial" w:cs="Arial"/>
          <w:i/>
          <w:iCs/>
          <w:color w:val="222222"/>
        </w:rPr>
      </w:pPr>
      <w:r w:rsidRPr="395E0093">
        <w:rPr>
          <w:rFonts w:ascii="Arial" w:eastAsia="Arial" w:hAnsi="Arial" w:cs="Arial"/>
          <w:i/>
          <w:iCs/>
          <w:color w:val="222222"/>
        </w:rPr>
        <w:t>We thank the reviewer for this important comment. We agree that correlation effects associated with localized 4f/5f electrons can influence the accuracy of standard GGA-DFT for lanthanides and actinides. In the present work, Hubbard U corrections and spin–orbit coupling (SOC) were not included. For the dilute solute limit considered here, where a single solute atom is embedded in metallic BCC Fe, the f-electrons are expected to be partially screened by the host, and GGA is therefore expected to capture relative trends in diffusion behavior reasonably well.</w:t>
      </w:r>
      <w:r w:rsidR="7C567DB9" w:rsidRPr="395E0093">
        <w:rPr>
          <w:rFonts w:ascii="Arial" w:eastAsia="Arial" w:hAnsi="Arial" w:cs="Arial"/>
          <w:i/>
          <w:iCs/>
          <w:color w:val="222222"/>
        </w:rPr>
        <w:t xml:space="preserve"> Additionally, it was shown in the literature that the Hubbard U correction and SOC may not be necessary for an accurate description of met</w:t>
      </w:r>
      <w:r w:rsidR="5FF6A866" w:rsidRPr="395E0093">
        <w:rPr>
          <w:rFonts w:ascii="Arial" w:eastAsia="Arial" w:hAnsi="Arial" w:cs="Arial"/>
          <w:i/>
          <w:iCs/>
          <w:color w:val="222222"/>
        </w:rPr>
        <w:t>, including</w:t>
      </w:r>
      <w:r w:rsidR="7C567DB9" w:rsidRPr="395E0093">
        <w:rPr>
          <w:rFonts w:ascii="Arial" w:eastAsia="Arial" w:hAnsi="Arial" w:cs="Arial"/>
          <w:i/>
          <w:iCs/>
          <w:color w:val="222222"/>
        </w:rPr>
        <w:t xml:space="preserve">llic systems such as the U-Zr alloy. We </w:t>
      </w:r>
      <w:r w:rsidR="7588EE12" w:rsidRPr="395E0093">
        <w:rPr>
          <w:rFonts w:ascii="Arial" w:eastAsia="Arial" w:hAnsi="Arial" w:cs="Arial"/>
          <w:i/>
          <w:iCs/>
          <w:color w:val="222222"/>
        </w:rPr>
        <w:t xml:space="preserve">emphasized that in the manuscript </w:t>
      </w:r>
      <w:proofErr w:type="spellStart"/>
      <w:r w:rsidR="7588EE12" w:rsidRPr="395E0093">
        <w:rPr>
          <w:rFonts w:ascii="Arial" w:eastAsia="Arial" w:hAnsi="Arial" w:cs="Arial"/>
          <w:i/>
          <w:iCs/>
          <w:color w:val="222222"/>
        </w:rPr>
        <w:t>inlcuding</w:t>
      </w:r>
      <w:proofErr w:type="spellEnd"/>
      <w:r w:rsidR="7588EE12" w:rsidRPr="395E0093">
        <w:rPr>
          <w:rFonts w:ascii="Arial" w:eastAsia="Arial" w:hAnsi="Arial" w:cs="Arial"/>
          <w:i/>
          <w:iCs/>
          <w:color w:val="222222"/>
        </w:rPr>
        <w:t xml:space="preserve"> the relevant citations.</w:t>
      </w:r>
    </w:p>
    <w:p w14:paraId="02457B3E" w14:textId="77777777" w:rsidR="0038634E" w:rsidRDefault="0038634E" w:rsidP="014E56A7">
      <w:pPr>
        <w:rPr>
          <w:rFonts w:ascii="Arial" w:eastAsia="Arial" w:hAnsi="Arial" w:cs="Arial"/>
          <w:color w:val="222222"/>
        </w:rPr>
      </w:pPr>
      <w:r w:rsidRPr="14CFF811">
        <w:rPr>
          <w:rFonts w:ascii="Arial" w:eastAsia="Arial" w:hAnsi="Arial" w:cs="Arial"/>
          <w:i/>
          <w:iCs/>
          <w:color w:val="222222"/>
        </w:rPr>
        <w:t xml:space="preserve">We have now added a statement in the manuscript acknowledging this limitation and clarifying that the reported energetics may carry quantitative uncertainties. A more rigorous treatment including </w:t>
      </w:r>
      <w:r w:rsidR="00D64781" w:rsidRPr="14CFF811">
        <w:rPr>
          <w:rFonts w:ascii="Arial" w:eastAsia="Arial" w:hAnsi="Arial" w:cs="Arial"/>
          <w:i/>
          <w:iCs/>
          <w:color w:val="222222"/>
        </w:rPr>
        <w:t>Hubbard U</w:t>
      </w:r>
      <w:r w:rsidRPr="14CFF811">
        <w:rPr>
          <w:rFonts w:ascii="Arial" w:eastAsia="Arial" w:hAnsi="Arial" w:cs="Arial"/>
          <w:i/>
          <w:iCs/>
          <w:color w:val="222222"/>
        </w:rPr>
        <w:t xml:space="preserve"> and SOC, as well as a systematic assessment of their impact, is left for future work.</w:t>
      </w:r>
    </w:p>
    <w:p w14:paraId="6393E4A1" w14:textId="77777777" w:rsidR="00CF28B8" w:rsidRPr="0038634E" w:rsidRDefault="00CF28B8" w:rsidP="014E56A7">
      <w:pPr>
        <w:rPr>
          <w:rFonts w:ascii="Arial" w:eastAsia="Arial" w:hAnsi="Arial" w:cs="Arial"/>
          <w:i/>
          <w:iCs/>
          <w:color w:val="222222"/>
        </w:rPr>
      </w:pPr>
      <w:r w:rsidRPr="014E56A7">
        <w:rPr>
          <w:rFonts w:ascii="Arial" w:eastAsia="Arial" w:hAnsi="Arial" w:cs="Arial"/>
          <w:b/>
          <w:bCs/>
          <w:color w:val="222222"/>
        </w:rPr>
        <w:t>Comment #2:</w:t>
      </w:r>
    </w:p>
    <w:p w14:paraId="7D47D307" w14:textId="77777777" w:rsidR="002F6239" w:rsidRDefault="00305960" w:rsidP="014E56A7">
      <w:pPr>
        <w:rPr>
          <w:rFonts w:ascii="Arial" w:eastAsia="Arial" w:hAnsi="Arial" w:cs="Arial"/>
          <w:color w:val="222222"/>
        </w:rPr>
      </w:pPr>
      <w:r w:rsidRPr="014E56A7">
        <w:rPr>
          <w:rFonts w:ascii="Arial" w:eastAsia="Arial" w:hAnsi="Arial" w:cs="Arial"/>
          <w:color w:val="222222"/>
          <w:shd w:val="clear" w:color="auto" w:fill="FFFFFF"/>
        </w:rPr>
        <w:t xml:space="preserve">Even though in some experiments a similarity between surface and bulk-grain boundary diffusivity was found (for Fe), the diffusion characteristics will on the atomic level </w:t>
      </w:r>
      <w:r w:rsidRPr="014E56A7">
        <w:rPr>
          <w:rFonts w:ascii="Arial" w:eastAsia="Arial" w:hAnsi="Arial" w:cs="Arial"/>
          <w:color w:val="222222"/>
          <w:shd w:val="clear" w:color="auto" w:fill="FFFFFF"/>
        </w:rPr>
        <w:lastRenderedPageBreak/>
        <w:t>strongly depend on the GB structure, as well, as on the surface orientation. Moreover, in Refs. 80, 81 different GBs are investigated with partially strongly differing diffusivities. From this point it does not seem sufficiently motivated, why the results for the (110)-surface should be generally transferable to GBs. Especially the therefrom made conclusions on general diffusion behavior of lanthanides and actinides (see p. 25, l.2-3) seems too far-stretched and we advise a more careful wording and better motivation of the claim made.</w:t>
      </w:r>
    </w:p>
    <w:p w14:paraId="18F7E4C1" w14:textId="77777777" w:rsidR="002F6239" w:rsidRPr="002F6239" w:rsidRDefault="002F6239" w:rsidP="014E56A7">
      <w:pPr>
        <w:rPr>
          <w:rFonts w:ascii="Arial" w:eastAsia="Arial" w:hAnsi="Arial" w:cs="Arial"/>
          <w:b/>
          <w:bCs/>
          <w:color w:val="222222"/>
        </w:rPr>
      </w:pPr>
      <w:r w:rsidRPr="014E56A7">
        <w:rPr>
          <w:rFonts w:ascii="Arial" w:eastAsia="Arial" w:hAnsi="Arial" w:cs="Arial"/>
          <w:b/>
          <w:bCs/>
          <w:color w:val="222222"/>
        </w:rPr>
        <w:t>Reply:</w:t>
      </w:r>
    </w:p>
    <w:p w14:paraId="4FA9CEE1" w14:textId="77777777" w:rsidR="002F6239" w:rsidRPr="002F6239" w:rsidRDefault="002F6239" w:rsidP="014E56A7">
      <w:pPr>
        <w:rPr>
          <w:rFonts w:ascii="Arial" w:eastAsia="Arial" w:hAnsi="Arial" w:cs="Arial"/>
          <w:i/>
          <w:iCs/>
        </w:rPr>
      </w:pPr>
      <w:r w:rsidRPr="014E56A7">
        <w:rPr>
          <w:rFonts w:ascii="Arial" w:eastAsia="Arial" w:hAnsi="Arial" w:cs="Arial"/>
          <w:i/>
          <w:iCs/>
        </w:rPr>
        <w:t>We thank the reviewer for this important comment. We fully agree diffusion characteristics depend on the specific grain boundary structure and surface orientation, and that different GBs can exhibit significantly different diffusivities.</w:t>
      </w:r>
    </w:p>
    <w:p w14:paraId="498CE057" w14:textId="77777777" w:rsidR="002F6239" w:rsidRPr="002F6239" w:rsidRDefault="002F6239" w:rsidP="014E56A7">
      <w:pPr>
        <w:rPr>
          <w:rFonts w:ascii="Arial" w:eastAsia="Arial" w:hAnsi="Arial" w:cs="Arial"/>
          <w:i/>
          <w:iCs/>
          <w:color w:val="222222"/>
        </w:rPr>
      </w:pPr>
      <w:r w:rsidRPr="014E56A7">
        <w:rPr>
          <w:rFonts w:ascii="Arial" w:eastAsia="Arial" w:hAnsi="Arial" w:cs="Arial"/>
          <w:i/>
          <w:iCs/>
          <w:color w:val="222222"/>
        </w:rPr>
        <w:t>Our original intent was not to suggest that the Fe (110) surface provides quantitatively transferable results to arbitrary grain boundaries. Rather, it was used as a simplified and well-defined model system to investigate diffusion along a fast diffusion pathway. We acknowledge that this motivation was not sufficiently clear in the original manuscript.</w:t>
      </w:r>
    </w:p>
    <w:p w14:paraId="5035AB08" w14:textId="77777777" w:rsidR="002F6239" w:rsidRPr="002F6239" w:rsidRDefault="002F6239" w:rsidP="014E56A7">
      <w:pPr>
        <w:rPr>
          <w:rFonts w:ascii="Arial" w:eastAsia="Arial" w:hAnsi="Arial" w:cs="Arial"/>
          <w:i/>
          <w:iCs/>
          <w:color w:val="222222"/>
        </w:rPr>
      </w:pPr>
      <w:r w:rsidRPr="014E56A7">
        <w:rPr>
          <w:rFonts w:ascii="Arial" w:eastAsia="Arial" w:hAnsi="Arial" w:cs="Arial"/>
          <w:i/>
          <w:iCs/>
          <w:color w:val="222222"/>
        </w:rPr>
        <w:t>In the revised version, we have carefully reworded the text to avoid any implication of general transferability of surface diffusivities to GBs. In particular, we now emphasize that:</w:t>
      </w:r>
    </w:p>
    <w:p w14:paraId="612909CA" w14:textId="77777777" w:rsidR="002F6239" w:rsidRPr="002F6239" w:rsidRDefault="002F6239" w:rsidP="014E56A7">
      <w:pPr>
        <w:pStyle w:val="ListParagraph"/>
        <w:numPr>
          <w:ilvl w:val="0"/>
          <w:numId w:val="2"/>
        </w:numPr>
        <w:rPr>
          <w:rFonts w:ascii="Arial" w:eastAsia="Arial" w:hAnsi="Arial" w:cs="Arial"/>
          <w:i/>
          <w:iCs/>
          <w:color w:val="222222"/>
        </w:rPr>
      </w:pPr>
      <w:r w:rsidRPr="014E56A7">
        <w:rPr>
          <w:rFonts w:ascii="Arial" w:eastAsia="Arial" w:hAnsi="Arial" w:cs="Arial"/>
          <w:i/>
          <w:iCs/>
          <w:color w:val="222222"/>
        </w:rPr>
        <w:t>The (110) surface is used as a model system to study mechanistic trends in solute-vacancy interactions and diffusion behavior.</w:t>
      </w:r>
    </w:p>
    <w:p w14:paraId="1845AC49" w14:textId="77777777" w:rsidR="002F6239" w:rsidRPr="002F6239" w:rsidRDefault="002F6239" w:rsidP="014E56A7">
      <w:pPr>
        <w:pStyle w:val="ListParagraph"/>
        <w:numPr>
          <w:ilvl w:val="0"/>
          <w:numId w:val="2"/>
        </w:numPr>
        <w:rPr>
          <w:rFonts w:ascii="Arial" w:eastAsia="Arial" w:hAnsi="Arial" w:cs="Arial"/>
          <w:i/>
          <w:iCs/>
          <w:color w:val="222222"/>
        </w:rPr>
      </w:pPr>
      <w:r w:rsidRPr="014E56A7">
        <w:rPr>
          <w:rFonts w:ascii="Arial" w:eastAsia="Arial" w:hAnsi="Arial" w:cs="Arial"/>
          <w:i/>
          <w:iCs/>
          <w:color w:val="222222"/>
        </w:rPr>
        <w:t>The results are intended to provide qualitative insight into fast diffusion pathways, rather than quantitative predictions for specific GBs.</w:t>
      </w:r>
    </w:p>
    <w:p w14:paraId="200B6D89" w14:textId="77777777" w:rsidR="002F6239" w:rsidRPr="002F6239" w:rsidRDefault="002F6239" w:rsidP="014E56A7">
      <w:pPr>
        <w:pStyle w:val="ListParagraph"/>
        <w:numPr>
          <w:ilvl w:val="0"/>
          <w:numId w:val="2"/>
        </w:numPr>
        <w:rPr>
          <w:rFonts w:ascii="Arial" w:eastAsia="Arial" w:hAnsi="Arial" w:cs="Arial"/>
          <w:i/>
          <w:iCs/>
          <w:color w:val="222222"/>
        </w:rPr>
      </w:pPr>
      <w:r w:rsidRPr="014E56A7">
        <w:rPr>
          <w:rFonts w:ascii="Arial" w:eastAsia="Arial" w:hAnsi="Arial" w:cs="Arial"/>
          <w:i/>
          <w:iCs/>
          <w:color w:val="222222"/>
        </w:rPr>
        <w:t>The strong dependence of GB diffusivity on boundary structure is explicitly acknowledged.</w:t>
      </w:r>
    </w:p>
    <w:p w14:paraId="545E3F5E" w14:textId="77777777" w:rsidR="002F6239" w:rsidRPr="002F6239" w:rsidRDefault="002F6239" w:rsidP="014E56A7">
      <w:pPr>
        <w:rPr>
          <w:rFonts w:ascii="Arial" w:eastAsia="Arial" w:hAnsi="Arial" w:cs="Arial"/>
          <w:i/>
          <w:iCs/>
          <w:color w:val="222222"/>
        </w:rPr>
      </w:pPr>
      <w:r w:rsidRPr="014E56A7">
        <w:rPr>
          <w:rFonts w:ascii="Arial" w:eastAsia="Arial" w:hAnsi="Arial" w:cs="Arial"/>
          <w:i/>
          <w:iCs/>
          <w:color w:val="222222"/>
        </w:rPr>
        <w:t>We have also revised the conclusions to ensure that statements regarding lanthanide and actinide diffusion are framed in terms of mechanistic trends (e.g., vacancy-mediated diffusion for oversized solutes) rather than general quantitative behavior along GBs. These changes clarify the scope and limitations of the study and ensure that the conclusions are not overgeneralized.</w:t>
      </w:r>
    </w:p>
    <w:p w14:paraId="3118AF19" w14:textId="77777777" w:rsidR="00CF28B8" w:rsidRPr="002F6239" w:rsidRDefault="00CF28B8" w:rsidP="014E56A7">
      <w:pPr>
        <w:rPr>
          <w:rFonts w:ascii="Arial" w:eastAsia="Arial" w:hAnsi="Arial" w:cs="Arial"/>
          <w:color w:val="222222"/>
        </w:rPr>
      </w:pPr>
      <w:r w:rsidRPr="014E56A7">
        <w:rPr>
          <w:rFonts w:ascii="Arial" w:eastAsia="Arial" w:hAnsi="Arial" w:cs="Arial"/>
          <w:b/>
          <w:bCs/>
          <w:color w:val="222222"/>
        </w:rPr>
        <w:t>Comment #3:</w:t>
      </w:r>
    </w:p>
    <w:p w14:paraId="24106805" w14:textId="77777777" w:rsidR="00C56660" w:rsidRDefault="00305960" w:rsidP="014E56A7">
      <w:pPr>
        <w:rPr>
          <w:rFonts w:ascii="Arial" w:eastAsia="Arial" w:hAnsi="Arial" w:cs="Arial"/>
          <w:color w:val="222222"/>
          <w:shd w:val="clear" w:color="auto" w:fill="FFFFFF"/>
        </w:rPr>
      </w:pPr>
      <w:r w:rsidRPr="014E56A7">
        <w:rPr>
          <w:rFonts w:ascii="Arial" w:eastAsia="Arial" w:hAnsi="Arial" w:cs="Arial"/>
          <w:color w:val="222222"/>
          <w:shd w:val="clear" w:color="auto" w:fill="FFFFFF"/>
        </w:rPr>
        <w:t>On p.18, l.5-8 it is said that due to a strong adsorption energy on the surface, diffusion into the subsurface is unlikely. To make this claim, it is in my opinion necessary to compare dissolution energies between surface and subsurface, as an intermediate-energy site in the subsurface layer could in theory facilitate through-surface diffusion.</w:t>
      </w:r>
    </w:p>
    <w:p w14:paraId="412A87E3" w14:textId="77777777" w:rsidR="00C56660" w:rsidRPr="00C56660" w:rsidRDefault="00C56660" w:rsidP="014E56A7">
      <w:pPr>
        <w:rPr>
          <w:rFonts w:ascii="Arial" w:eastAsia="Arial" w:hAnsi="Arial" w:cs="Arial"/>
          <w:b/>
          <w:bCs/>
          <w:color w:val="222222"/>
          <w:shd w:val="clear" w:color="auto" w:fill="FFFFFF"/>
        </w:rPr>
      </w:pPr>
      <w:r w:rsidRPr="014E56A7">
        <w:rPr>
          <w:rFonts w:ascii="Arial" w:eastAsia="Arial" w:hAnsi="Arial" w:cs="Arial"/>
          <w:b/>
          <w:bCs/>
          <w:color w:val="222222"/>
          <w:shd w:val="clear" w:color="auto" w:fill="FFFFFF"/>
        </w:rPr>
        <w:t>Reply:</w:t>
      </w:r>
    </w:p>
    <w:p w14:paraId="39BAADB3" w14:textId="1DEEE434" w:rsidR="00CF28B8" w:rsidRDefault="00C56660" w:rsidP="014E56A7">
      <w:pPr>
        <w:rPr>
          <w:rFonts w:ascii="Arial" w:eastAsia="Arial" w:hAnsi="Arial" w:cs="Arial"/>
          <w:color w:val="222222"/>
          <w:shd w:val="clear" w:color="auto" w:fill="FFFFFF"/>
        </w:rPr>
      </w:pPr>
      <w:r w:rsidRPr="14CFF811">
        <w:rPr>
          <w:rFonts w:ascii="Arial" w:eastAsia="Arial" w:hAnsi="Arial" w:cs="Arial"/>
          <w:i/>
          <w:iCs/>
        </w:rPr>
        <w:lastRenderedPageBreak/>
        <w:t>We thank the reviewer for this suggestion. We have added a sentence in the manuscript</w:t>
      </w:r>
      <w:r w:rsidR="2763CB2C" w:rsidRPr="14CFF811">
        <w:rPr>
          <w:rFonts w:ascii="Arial" w:eastAsia="Arial" w:hAnsi="Arial" w:cs="Arial"/>
          <w:i/>
          <w:iCs/>
        </w:rPr>
        <w:t xml:space="preserve"> </w:t>
      </w:r>
      <w:r w:rsidRPr="14CFF811">
        <w:rPr>
          <w:rFonts w:ascii="Arial" w:eastAsia="Arial" w:hAnsi="Arial" w:cs="Arial"/>
          <w:i/>
          <w:iCs/>
        </w:rPr>
        <w:t>noting that the first and second subsurface layers are significantly less favorable than the surface, with segregation energies increasing by 1 - 4 eV. This confirms that strong surface adsorption makes diffusion into the subsurface energetically unlikely. The results are also illustrated in Figure 8(b).</w:t>
      </w:r>
      <w:r>
        <w:br/>
      </w:r>
      <w:r>
        <w:br/>
      </w:r>
      <w:r w:rsidR="00CF28B8" w:rsidRPr="14CFF811">
        <w:rPr>
          <w:rFonts w:ascii="Arial" w:eastAsia="Arial" w:hAnsi="Arial" w:cs="Arial"/>
          <w:b/>
          <w:bCs/>
          <w:color w:val="222222"/>
        </w:rPr>
        <w:t>Comment #4:</w:t>
      </w:r>
    </w:p>
    <w:p w14:paraId="695BA459" w14:textId="77777777" w:rsidR="005A2259" w:rsidRDefault="00305960" w:rsidP="014E56A7">
      <w:pPr>
        <w:rPr>
          <w:rFonts w:ascii="Arial" w:eastAsia="Arial" w:hAnsi="Arial" w:cs="Arial"/>
          <w:color w:val="222222"/>
          <w:shd w:val="clear" w:color="auto" w:fill="FFFFFF"/>
        </w:rPr>
      </w:pPr>
      <w:r w:rsidRPr="014E56A7">
        <w:rPr>
          <w:rFonts w:ascii="Arial" w:eastAsia="Arial" w:hAnsi="Arial" w:cs="Arial"/>
          <w:color w:val="222222"/>
          <w:shd w:val="clear" w:color="auto" w:fill="FFFFFF"/>
        </w:rPr>
        <w:t>Since the importance of the specific PBE-functionals is pointed out, it would be better to mention their specific name instead of referring to them as recommended potentials (as the recommendation on the VASP website could change in the future)</w:t>
      </w:r>
    </w:p>
    <w:p w14:paraId="0CBE8884" w14:textId="77777777" w:rsidR="00AE79B0" w:rsidRPr="00AE79B0" w:rsidRDefault="00AE79B0" w:rsidP="014E56A7">
      <w:pPr>
        <w:rPr>
          <w:rFonts w:ascii="Arial" w:eastAsia="Arial" w:hAnsi="Arial" w:cs="Arial"/>
          <w:b/>
          <w:bCs/>
          <w:color w:val="222222"/>
          <w:shd w:val="clear" w:color="auto" w:fill="FFFFFF"/>
        </w:rPr>
      </w:pPr>
      <w:r w:rsidRPr="014E56A7">
        <w:rPr>
          <w:rFonts w:ascii="Arial" w:eastAsia="Arial" w:hAnsi="Arial" w:cs="Arial"/>
          <w:b/>
          <w:bCs/>
          <w:color w:val="222222"/>
          <w:shd w:val="clear" w:color="auto" w:fill="FFFFFF"/>
        </w:rPr>
        <w:t>Reply:</w:t>
      </w:r>
    </w:p>
    <w:p w14:paraId="2D4D8A5E" w14:textId="77777777" w:rsidR="00AE79B0" w:rsidRPr="00AE79B0" w:rsidRDefault="00AE79B0" w:rsidP="014E56A7">
      <w:pPr>
        <w:rPr>
          <w:rFonts w:ascii="Arial" w:eastAsia="Arial" w:hAnsi="Arial" w:cs="Arial"/>
          <w:i/>
          <w:iCs/>
        </w:rPr>
      </w:pPr>
      <w:r w:rsidRPr="014E56A7">
        <w:rPr>
          <w:rFonts w:ascii="Arial" w:eastAsia="Arial" w:hAnsi="Arial" w:cs="Arial"/>
          <w:i/>
          <w:iCs/>
        </w:rPr>
        <w:t>We thank the reviewer for this suggestion. We have revised the manuscript to explicitly specify the names of the PAW-PBE pseudopotentials used (Fe, Ce, Nd_3, U, and Pu), rather than referring to them as “recommended” potentials, to ensure clarity and reproducibility.</w:t>
      </w:r>
    </w:p>
    <w:sectPr w:rsidR="00AE79B0" w:rsidRPr="00AE79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B0470"/>
    <w:multiLevelType w:val="hybridMultilevel"/>
    <w:tmpl w:val="F24E4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3A4509"/>
    <w:multiLevelType w:val="multilevel"/>
    <w:tmpl w:val="7D38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975330">
    <w:abstractNumId w:val="1"/>
  </w:num>
  <w:num w:numId="2" w16cid:durableId="1183056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CA5"/>
    <w:rsid w:val="00204882"/>
    <w:rsid w:val="0022572E"/>
    <w:rsid w:val="00287373"/>
    <w:rsid w:val="002A2515"/>
    <w:rsid w:val="002F6239"/>
    <w:rsid w:val="00305960"/>
    <w:rsid w:val="00356F5B"/>
    <w:rsid w:val="003745D9"/>
    <w:rsid w:val="0038634E"/>
    <w:rsid w:val="00431C10"/>
    <w:rsid w:val="00456E36"/>
    <w:rsid w:val="00491AF8"/>
    <w:rsid w:val="004D7A81"/>
    <w:rsid w:val="00513701"/>
    <w:rsid w:val="005A2259"/>
    <w:rsid w:val="005F32AA"/>
    <w:rsid w:val="006B6A95"/>
    <w:rsid w:val="0074454B"/>
    <w:rsid w:val="0078250E"/>
    <w:rsid w:val="00784714"/>
    <w:rsid w:val="007A642F"/>
    <w:rsid w:val="007F4472"/>
    <w:rsid w:val="00875741"/>
    <w:rsid w:val="00885BC4"/>
    <w:rsid w:val="008B7F6B"/>
    <w:rsid w:val="00984BD2"/>
    <w:rsid w:val="009D63E0"/>
    <w:rsid w:val="00A2785E"/>
    <w:rsid w:val="00AE4558"/>
    <w:rsid w:val="00AE79B0"/>
    <w:rsid w:val="00B63AF7"/>
    <w:rsid w:val="00BC0F36"/>
    <w:rsid w:val="00BE2A55"/>
    <w:rsid w:val="00BE530E"/>
    <w:rsid w:val="00C32A48"/>
    <w:rsid w:val="00C4676B"/>
    <w:rsid w:val="00C56660"/>
    <w:rsid w:val="00C95003"/>
    <w:rsid w:val="00CF28B8"/>
    <w:rsid w:val="00D64781"/>
    <w:rsid w:val="00D746D8"/>
    <w:rsid w:val="00D82AB1"/>
    <w:rsid w:val="00DF5EF5"/>
    <w:rsid w:val="00E0494B"/>
    <w:rsid w:val="00E13BAC"/>
    <w:rsid w:val="00E352EF"/>
    <w:rsid w:val="00E569BE"/>
    <w:rsid w:val="00E95CA5"/>
    <w:rsid w:val="00EA1D29"/>
    <w:rsid w:val="00EA6B0D"/>
    <w:rsid w:val="00ED508A"/>
    <w:rsid w:val="00ED7D74"/>
    <w:rsid w:val="00EF511A"/>
    <w:rsid w:val="00F52ABD"/>
    <w:rsid w:val="00F56A09"/>
    <w:rsid w:val="00FD7DC2"/>
    <w:rsid w:val="014E56A7"/>
    <w:rsid w:val="0786D233"/>
    <w:rsid w:val="0D9FA10C"/>
    <w:rsid w:val="0E653F9C"/>
    <w:rsid w:val="103690F0"/>
    <w:rsid w:val="14CFF811"/>
    <w:rsid w:val="1574A7A9"/>
    <w:rsid w:val="19C8A9C3"/>
    <w:rsid w:val="1BD003EF"/>
    <w:rsid w:val="1C3601A9"/>
    <w:rsid w:val="2763CB2C"/>
    <w:rsid w:val="27889532"/>
    <w:rsid w:val="2D2158BE"/>
    <w:rsid w:val="32C125CA"/>
    <w:rsid w:val="33B08799"/>
    <w:rsid w:val="34677663"/>
    <w:rsid w:val="379769D0"/>
    <w:rsid w:val="395E0093"/>
    <w:rsid w:val="3B97C8E9"/>
    <w:rsid w:val="3D1562C4"/>
    <w:rsid w:val="418A021F"/>
    <w:rsid w:val="461E916E"/>
    <w:rsid w:val="4676681D"/>
    <w:rsid w:val="4C162D82"/>
    <w:rsid w:val="4CEFC231"/>
    <w:rsid w:val="4DCD0480"/>
    <w:rsid w:val="4E0ED28E"/>
    <w:rsid w:val="50BA5121"/>
    <w:rsid w:val="539B672A"/>
    <w:rsid w:val="566D6FD4"/>
    <w:rsid w:val="56B5B396"/>
    <w:rsid w:val="56B69372"/>
    <w:rsid w:val="5FF6A866"/>
    <w:rsid w:val="60C50E89"/>
    <w:rsid w:val="62CA662D"/>
    <w:rsid w:val="63E59D00"/>
    <w:rsid w:val="6532B58E"/>
    <w:rsid w:val="68D9C341"/>
    <w:rsid w:val="691EE2C8"/>
    <w:rsid w:val="6B665720"/>
    <w:rsid w:val="6E740AAB"/>
    <w:rsid w:val="6F6EB889"/>
    <w:rsid w:val="70C400D4"/>
    <w:rsid w:val="72D51B1E"/>
    <w:rsid w:val="7588EE12"/>
    <w:rsid w:val="78341618"/>
    <w:rsid w:val="7A126257"/>
    <w:rsid w:val="7A5887D0"/>
    <w:rsid w:val="7A6A77A2"/>
    <w:rsid w:val="7A6C174B"/>
    <w:rsid w:val="7C567DB9"/>
    <w:rsid w:val="7DB9F6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990EA"/>
  <w15:chartTrackingRefBased/>
  <w15:docId w15:val="{AEACBA18-3AFF-4717-96C3-4C3558DE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8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05960"/>
    <w:rPr>
      <w:color w:val="0000FF"/>
      <w:u w:val="single"/>
    </w:rPr>
  </w:style>
  <w:style w:type="paragraph" w:styleId="ListParagraph">
    <w:name w:val="List Paragraph"/>
    <w:basedOn w:val="Normal"/>
    <w:uiPriority w:val="34"/>
    <w:qFormat/>
    <w:rsid w:val="002F6239"/>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46522">
      <w:bodyDiv w:val="1"/>
      <w:marLeft w:val="0"/>
      <w:marRight w:val="0"/>
      <w:marTop w:val="0"/>
      <w:marBottom w:val="0"/>
      <w:divBdr>
        <w:top w:val="none" w:sz="0" w:space="0" w:color="auto"/>
        <w:left w:val="none" w:sz="0" w:space="0" w:color="auto"/>
        <w:bottom w:val="none" w:sz="0" w:space="0" w:color="auto"/>
        <w:right w:val="none" w:sz="0" w:space="0" w:color="auto"/>
      </w:divBdr>
    </w:div>
    <w:div w:id="263653983">
      <w:bodyDiv w:val="1"/>
      <w:marLeft w:val="0"/>
      <w:marRight w:val="0"/>
      <w:marTop w:val="0"/>
      <w:marBottom w:val="0"/>
      <w:divBdr>
        <w:top w:val="none" w:sz="0" w:space="0" w:color="auto"/>
        <w:left w:val="none" w:sz="0" w:space="0" w:color="auto"/>
        <w:bottom w:val="none" w:sz="0" w:space="0" w:color="auto"/>
        <w:right w:val="none" w:sz="0" w:space="0" w:color="auto"/>
      </w:divBdr>
    </w:div>
    <w:div w:id="903294608">
      <w:bodyDiv w:val="1"/>
      <w:marLeft w:val="0"/>
      <w:marRight w:val="0"/>
      <w:marTop w:val="0"/>
      <w:marBottom w:val="0"/>
      <w:divBdr>
        <w:top w:val="none" w:sz="0" w:space="0" w:color="auto"/>
        <w:left w:val="none" w:sz="0" w:space="0" w:color="auto"/>
        <w:bottom w:val="none" w:sz="0" w:space="0" w:color="auto"/>
        <w:right w:val="none" w:sz="0" w:space="0" w:color="auto"/>
      </w:divBdr>
    </w:div>
    <w:div w:id="969944194">
      <w:bodyDiv w:val="1"/>
      <w:marLeft w:val="0"/>
      <w:marRight w:val="0"/>
      <w:marTop w:val="0"/>
      <w:marBottom w:val="0"/>
      <w:divBdr>
        <w:top w:val="none" w:sz="0" w:space="0" w:color="auto"/>
        <w:left w:val="none" w:sz="0" w:space="0" w:color="auto"/>
        <w:bottom w:val="none" w:sz="0" w:space="0" w:color="auto"/>
        <w:right w:val="none" w:sz="0" w:space="0" w:color="auto"/>
      </w:divBdr>
    </w:div>
    <w:div w:id="1055392803">
      <w:bodyDiv w:val="1"/>
      <w:marLeft w:val="0"/>
      <w:marRight w:val="0"/>
      <w:marTop w:val="0"/>
      <w:marBottom w:val="0"/>
      <w:divBdr>
        <w:top w:val="none" w:sz="0" w:space="0" w:color="auto"/>
        <w:left w:val="none" w:sz="0" w:space="0" w:color="auto"/>
        <w:bottom w:val="none" w:sz="0" w:space="0" w:color="auto"/>
        <w:right w:val="none" w:sz="0" w:space="0" w:color="auto"/>
      </w:divBdr>
    </w:div>
    <w:div w:id="1173300203">
      <w:bodyDiv w:val="1"/>
      <w:marLeft w:val="0"/>
      <w:marRight w:val="0"/>
      <w:marTop w:val="0"/>
      <w:marBottom w:val="0"/>
      <w:divBdr>
        <w:top w:val="none" w:sz="0" w:space="0" w:color="auto"/>
        <w:left w:val="none" w:sz="0" w:space="0" w:color="auto"/>
        <w:bottom w:val="none" w:sz="0" w:space="0" w:color="auto"/>
        <w:right w:val="none" w:sz="0" w:space="0" w:color="auto"/>
      </w:divBdr>
    </w:div>
    <w:div w:id="1302150803">
      <w:bodyDiv w:val="1"/>
      <w:marLeft w:val="0"/>
      <w:marRight w:val="0"/>
      <w:marTop w:val="0"/>
      <w:marBottom w:val="0"/>
      <w:divBdr>
        <w:top w:val="none" w:sz="0" w:space="0" w:color="auto"/>
        <w:left w:val="none" w:sz="0" w:space="0" w:color="auto"/>
        <w:bottom w:val="none" w:sz="0" w:space="0" w:color="auto"/>
        <w:right w:val="none" w:sz="0" w:space="0" w:color="auto"/>
      </w:divBdr>
    </w:div>
    <w:div w:id="1395617421">
      <w:bodyDiv w:val="1"/>
      <w:marLeft w:val="0"/>
      <w:marRight w:val="0"/>
      <w:marTop w:val="0"/>
      <w:marBottom w:val="0"/>
      <w:divBdr>
        <w:top w:val="none" w:sz="0" w:space="0" w:color="auto"/>
        <w:left w:val="none" w:sz="0" w:space="0" w:color="auto"/>
        <w:bottom w:val="none" w:sz="0" w:space="0" w:color="auto"/>
        <w:right w:val="none" w:sz="0" w:space="0" w:color="auto"/>
      </w:divBdr>
    </w:div>
    <w:div w:id="1651135049">
      <w:bodyDiv w:val="1"/>
      <w:marLeft w:val="0"/>
      <w:marRight w:val="0"/>
      <w:marTop w:val="0"/>
      <w:marBottom w:val="0"/>
      <w:divBdr>
        <w:top w:val="none" w:sz="0" w:space="0" w:color="auto"/>
        <w:left w:val="none" w:sz="0" w:space="0" w:color="auto"/>
        <w:bottom w:val="none" w:sz="0" w:space="0" w:color="auto"/>
        <w:right w:val="none" w:sz="0" w:space="0" w:color="auto"/>
      </w:divBdr>
    </w:div>
    <w:div w:id="2096515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03/PhysRevLett.124.21590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10458-12A2-4442-AAA3-50A76DE82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2985</Words>
  <Characters>17017</Characters>
  <Application>Microsoft Office Word</Application>
  <DocSecurity>0</DocSecurity>
  <Lines>141</Lines>
  <Paragraphs>39</Paragraphs>
  <ScaleCrop>false</ScaleCrop>
  <Company>HP</Company>
  <LinksUpToDate>false</LinksUpToDate>
  <CharactersWithSpaces>19963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Benjamin W. Beeler</cp:lastModifiedBy>
  <cp:revision>3</cp:revision>
  <dcterms:created xsi:type="dcterms:W3CDTF">2026-04-13T17:07:00Z</dcterms:created>
  <dcterms:modified xsi:type="dcterms:W3CDTF">2026-04-13T18:13:00Z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0f6867cb-ee17-4232-b895-1dfb25ff8acb</vt:lpwstr>
  </property>
</Properties>
</file>