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EB0D7" w14:textId="77777777" w:rsidR="00BD36F5" w:rsidRDefault="00FD6259">
      <w:pPr>
        <w:spacing w:after="407" w:line="254" w:lineRule="auto"/>
        <w:ind w:left="0" w:right="0" w:firstLine="0"/>
        <w:jc w:val="center"/>
      </w:pPr>
      <w:r>
        <w:rPr>
          <w:sz w:val="29"/>
        </w:rPr>
        <w:t xml:space="preserve">Analyzing the effect of pressure on the properties of point defects in </w:t>
      </w:r>
      <w:proofErr w:type="spellStart"/>
      <w:r>
        <w:rPr>
          <w:i/>
          <w:sz w:val="29"/>
        </w:rPr>
        <w:t>γ</w:t>
      </w:r>
      <w:r>
        <w:rPr>
          <w:sz w:val="29"/>
        </w:rPr>
        <w:t>UMo</w:t>
      </w:r>
      <w:proofErr w:type="spellEnd"/>
      <w:r>
        <w:rPr>
          <w:sz w:val="29"/>
        </w:rPr>
        <w:t xml:space="preserve"> through atomistic simulations</w:t>
      </w:r>
    </w:p>
    <w:p w14:paraId="6E32CF5E" w14:textId="77777777" w:rsidR="00BD36F5" w:rsidRDefault="00FD6259">
      <w:pPr>
        <w:spacing w:after="250" w:line="259" w:lineRule="auto"/>
        <w:jc w:val="center"/>
      </w:pPr>
      <w:r>
        <w:t xml:space="preserve">Benjamin </w:t>
      </w:r>
      <w:proofErr w:type="spellStart"/>
      <w:proofErr w:type="gramStart"/>
      <w:r>
        <w:t>Beeler</w:t>
      </w:r>
      <w:r>
        <w:rPr>
          <w:vertAlign w:val="superscript"/>
        </w:rPr>
        <w:t>a,b</w:t>
      </w:r>
      <w:proofErr w:type="spellEnd"/>
      <w:proofErr w:type="gramEnd"/>
      <w:r>
        <w:rPr>
          <w:vertAlign w:val="superscript"/>
        </w:rPr>
        <w:t>,∗</w:t>
      </w:r>
      <w:r>
        <w:t xml:space="preserve">, </w:t>
      </w:r>
      <w:proofErr w:type="spellStart"/>
      <w:r>
        <w:t>Yongfeng</w:t>
      </w:r>
      <w:proofErr w:type="spellEnd"/>
      <w:r>
        <w:t xml:space="preserve"> </w:t>
      </w:r>
      <w:proofErr w:type="spellStart"/>
      <w:r>
        <w:t>Zhang</w:t>
      </w:r>
      <w:r>
        <w:rPr>
          <w:vertAlign w:val="superscript"/>
        </w:rPr>
        <w:t>c</w:t>
      </w:r>
      <w:proofErr w:type="spellEnd"/>
      <w:r>
        <w:t xml:space="preserve">, Jahid </w:t>
      </w:r>
      <w:proofErr w:type="spellStart"/>
      <w:r>
        <w:t>Hasan</w:t>
      </w:r>
      <w:r>
        <w:rPr>
          <w:vertAlign w:val="superscript"/>
        </w:rPr>
        <w:t>a</w:t>
      </w:r>
      <w:proofErr w:type="spellEnd"/>
      <w:r>
        <w:t xml:space="preserve">, </w:t>
      </w:r>
      <w:proofErr w:type="spellStart"/>
      <w:r>
        <w:t>Gyuchul</w:t>
      </w:r>
      <w:proofErr w:type="spellEnd"/>
      <w:r>
        <w:t xml:space="preserve"> </w:t>
      </w:r>
      <w:proofErr w:type="spellStart"/>
      <w:r>
        <w:t>Park</w:t>
      </w:r>
      <w:r>
        <w:rPr>
          <w:vertAlign w:val="superscript"/>
        </w:rPr>
        <w:t>d</w:t>
      </w:r>
      <w:proofErr w:type="spellEnd"/>
      <w:r>
        <w:t>, Shenyang Hu</w:t>
      </w:r>
      <w:r>
        <w:rPr>
          <w:vertAlign w:val="superscript"/>
        </w:rPr>
        <w:t>e</w:t>
      </w:r>
    </w:p>
    <w:p w14:paraId="3AB5744E" w14:textId="77777777" w:rsidR="00BD36F5" w:rsidRDefault="00FD6259">
      <w:pPr>
        <w:spacing w:after="243" w:line="259" w:lineRule="auto"/>
        <w:ind w:left="0" w:right="0" w:firstLine="0"/>
        <w:jc w:val="left"/>
      </w:pPr>
      <w:r>
        <w:rPr>
          <w:rFonts w:ascii="Calibri" w:eastAsia="Calibri" w:hAnsi="Calibri" w:cs="Calibri"/>
          <w:noProof/>
        </w:rPr>
        <mc:AlternateContent>
          <mc:Choice Requires="wpg">
            <w:drawing>
              <wp:inline distT="0" distB="0" distL="0" distR="0" wp14:anchorId="490FFC1D" wp14:editId="0547D036">
                <wp:extent cx="5440655" cy="5055"/>
                <wp:effectExtent l="0" t="0" r="0" b="0"/>
                <wp:docPr id="1007" name="Group 1007"/>
                <wp:cNvGraphicFramePr/>
                <a:graphic xmlns:a="http://schemas.openxmlformats.org/drawingml/2006/main">
                  <a:graphicData uri="http://schemas.microsoft.com/office/word/2010/wordprocessingGroup">
                    <wpg:wgp>
                      <wpg:cNvGrpSpPr/>
                      <wpg:grpSpPr>
                        <a:xfrm>
                          <a:off x="0" y="0"/>
                          <a:ext cx="5440655" cy="5055"/>
                          <a:chOff x="0" y="0"/>
                          <a:chExt cx="5440655" cy="5055"/>
                        </a:xfrm>
                      </wpg:grpSpPr>
                      <wps:wsp>
                        <wps:cNvPr id="30" name="Shape 30"/>
                        <wps:cNvSpPr/>
                        <wps:spPr>
                          <a:xfrm>
                            <a:off x="0" y="0"/>
                            <a:ext cx="5440655" cy="0"/>
                          </a:xfrm>
                          <a:custGeom>
                            <a:avLst/>
                            <a:gdLst/>
                            <a:ahLst/>
                            <a:cxnLst/>
                            <a:rect l="0" t="0" r="0" b="0"/>
                            <a:pathLst>
                              <a:path w="5440655">
                                <a:moveTo>
                                  <a:pt x="0" y="0"/>
                                </a:moveTo>
                                <a:lnTo>
                                  <a:pt x="54406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7" style="width:428.398pt;height:0.398pt;mso-position-horizontal-relative:char;mso-position-vertical-relative:line" coordsize="54406,50">
                <v:shape id="Shape 30" style="position:absolute;width:54406;height:0;left:0;top:0;" coordsize="5440655,0" path="m0,0l5440655,0">
                  <v:stroke weight="0.398pt" endcap="flat" joinstyle="miter" miterlimit="10" on="true" color="#000000"/>
                  <v:fill on="false" color="#000000" opacity="0"/>
                </v:shape>
              </v:group>
            </w:pict>
          </mc:Fallback>
        </mc:AlternateContent>
      </w:r>
    </w:p>
    <w:p w14:paraId="5E3BB704" w14:textId="77777777" w:rsidR="00BD36F5" w:rsidRDefault="00FD6259">
      <w:pPr>
        <w:spacing w:after="0" w:line="490" w:lineRule="auto"/>
        <w:ind w:left="-5" w:right="6770"/>
      </w:pPr>
      <w:r>
        <w:rPr>
          <w:b/>
        </w:rPr>
        <w:t xml:space="preserve">Abstract </w:t>
      </w:r>
      <w:r>
        <w:t>this is the abstract</w:t>
      </w:r>
    </w:p>
    <w:p w14:paraId="33E8F6C3" w14:textId="77777777" w:rsidR="00BD36F5" w:rsidRDefault="00FD6259">
      <w:pPr>
        <w:spacing w:after="379" w:line="259" w:lineRule="auto"/>
        <w:ind w:left="0" w:right="0" w:firstLine="0"/>
        <w:jc w:val="left"/>
      </w:pPr>
      <w:r>
        <w:rPr>
          <w:rFonts w:ascii="Calibri" w:eastAsia="Calibri" w:hAnsi="Calibri" w:cs="Calibri"/>
          <w:noProof/>
        </w:rPr>
        <mc:AlternateContent>
          <mc:Choice Requires="wpg">
            <w:drawing>
              <wp:inline distT="0" distB="0" distL="0" distR="0" wp14:anchorId="2F0B5BC5" wp14:editId="61CC583A">
                <wp:extent cx="5440655" cy="5055"/>
                <wp:effectExtent l="0" t="0" r="0" b="0"/>
                <wp:docPr id="1008" name="Group 1008"/>
                <wp:cNvGraphicFramePr/>
                <a:graphic xmlns:a="http://schemas.openxmlformats.org/drawingml/2006/main">
                  <a:graphicData uri="http://schemas.microsoft.com/office/word/2010/wordprocessingGroup">
                    <wpg:wgp>
                      <wpg:cNvGrpSpPr/>
                      <wpg:grpSpPr>
                        <a:xfrm>
                          <a:off x="0" y="0"/>
                          <a:ext cx="5440655" cy="5055"/>
                          <a:chOff x="0" y="0"/>
                          <a:chExt cx="5440655" cy="5055"/>
                        </a:xfrm>
                      </wpg:grpSpPr>
                      <wps:wsp>
                        <wps:cNvPr id="33" name="Shape 33"/>
                        <wps:cNvSpPr/>
                        <wps:spPr>
                          <a:xfrm>
                            <a:off x="0" y="0"/>
                            <a:ext cx="5440655" cy="0"/>
                          </a:xfrm>
                          <a:custGeom>
                            <a:avLst/>
                            <a:gdLst/>
                            <a:ahLst/>
                            <a:cxnLst/>
                            <a:rect l="0" t="0" r="0" b="0"/>
                            <a:pathLst>
                              <a:path w="5440655">
                                <a:moveTo>
                                  <a:pt x="0" y="0"/>
                                </a:moveTo>
                                <a:lnTo>
                                  <a:pt x="54406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8" style="width:428.398pt;height:0.398pt;mso-position-horizontal-relative:char;mso-position-vertical-relative:line" coordsize="54406,50">
                <v:shape id="Shape 33" style="position:absolute;width:54406;height:0;left:0;top:0;" coordsize="5440655,0" path="m0,0l5440655,0">
                  <v:stroke weight="0.398pt" endcap="flat" joinstyle="miter" miterlimit="10" on="true" color="#000000"/>
                  <v:fill on="false" color="#000000" opacity="0"/>
                </v:shape>
              </v:group>
            </w:pict>
          </mc:Fallback>
        </mc:AlternateContent>
      </w:r>
    </w:p>
    <w:p w14:paraId="0B4F564F" w14:textId="77777777" w:rsidR="00BD36F5" w:rsidRDefault="00FD6259">
      <w:pPr>
        <w:pStyle w:val="Heading1"/>
        <w:ind w:left="306" w:hanging="321"/>
      </w:pPr>
      <w:r>
        <w:t>Introduction</w:t>
      </w:r>
    </w:p>
    <w:p w14:paraId="7DAEC267" w14:textId="77777777" w:rsidR="00BD36F5" w:rsidRDefault="00FD6259">
      <w:pPr>
        <w:ind w:left="-5" w:right="0"/>
      </w:pPr>
      <w:r>
        <w:t xml:space="preserve">Background on </w:t>
      </w:r>
      <w:proofErr w:type="spellStart"/>
      <w:r>
        <w:t>UMo</w:t>
      </w:r>
      <w:proofErr w:type="spellEnd"/>
      <w:r>
        <w:t xml:space="preserve"> fuel</w:t>
      </w:r>
    </w:p>
    <w:p w14:paraId="3464E1FB" w14:textId="77777777" w:rsidR="00BD36F5" w:rsidRDefault="00FD6259">
      <w:pPr>
        <w:ind w:left="-5" w:right="0"/>
      </w:pPr>
      <w:r>
        <w:t xml:space="preserve">Pressure state on </w:t>
      </w:r>
      <w:proofErr w:type="spellStart"/>
      <w:r>
        <w:t>UMo</w:t>
      </w:r>
      <w:proofErr w:type="spellEnd"/>
    </w:p>
    <w:p w14:paraId="1D3E17B4" w14:textId="77777777" w:rsidR="00BD36F5" w:rsidRDefault="00FD6259">
      <w:pPr>
        <w:ind w:left="-5" w:right="0"/>
      </w:pPr>
      <w:r>
        <w:t xml:space="preserve">Atomistic Calculations on </w:t>
      </w:r>
      <w:proofErr w:type="spellStart"/>
      <w:r>
        <w:t>UMo</w:t>
      </w:r>
      <w:proofErr w:type="spellEnd"/>
      <w:r>
        <w:t xml:space="preserve"> summary</w:t>
      </w:r>
    </w:p>
    <w:p w14:paraId="72200CBC" w14:textId="77777777" w:rsidR="00BD36F5" w:rsidRDefault="00FD6259">
      <w:pPr>
        <w:spacing w:after="349"/>
        <w:ind w:left="-5" w:right="0"/>
      </w:pPr>
      <w:r>
        <w:t>What we will do</w:t>
      </w:r>
    </w:p>
    <w:p w14:paraId="529578EA" w14:textId="77777777" w:rsidR="00BD36F5" w:rsidRDefault="00FD6259">
      <w:pPr>
        <w:pStyle w:val="Heading1"/>
        <w:ind w:left="306" w:hanging="321"/>
      </w:pPr>
      <w:r>
        <w:t>Computational Details</w:t>
      </w:r>
    </w:p>
    <w:p w14:paraId="7D779DF5" w14:textId="30F16B4C" w:rsidR="00BD36F5" w:rsidRDefault="00FD6259" w:rsidP="00706FA1">
      <w:pPr>
        <w:ind w:left="-5" w:right="0"/>
      </w:pPr>
      <w:r>
        <w:t>Molecular dynamics simulations are performed utilizing the LAMMPS</w:t>
      </w:r>
      <w:r w:rsidR="00195279">
        <w:t xml:space="preserve"> </w:t>
      </w:r>
      <w:r w:rsidR="00195279">
        <w:fldChar w:fldCharType="begin" w:fldLock="1"/>
      </w:r>
      <w:r w:rsidR="00FB521A">
        <w:instrText>ADDIN CSL_CITATION {"citationItems":[{"id":"ITEM-1","itemData":{"DOI":"10.1006/JCPH.1995.1039","ISSN":"0021-9991","abstract":"Three parallel algorithms for classical molecular dynamics are presented. The first assigns each processor a fixed subset of atoms; the second assigns each a fixed subset of inter-atomic forces to compute; the third assigns each a fixed spatial region. The algorithms are suitable for molecular dynamics models which can be difficult to parallelize efficiently - those with short-range forces where the neighbors of each atom change rapidly. They can be implemented on any distributed-memory parallel machine which allows for message-passing of data between independently executing processors. The algorithms are tested on a standard Lennard-Jones benchmark problem for system sizes ranging from 500 to 100,000,000 atoms on several parallel supercomputers - the nCUBE 2, Intel iPSC/860 and Paragon, and Cray T3D. Comparing the results to the fastest reported vectorized Cray Y-MP and C90 algorithm shows that the current generation of parallel machines is competitive with conventional vector supercomputers even for small problems. For large problems, the spatial algorithm achieves parallel efficiencies of 90% and a 1840-node Intel Paragon performs up to 165 faster than a single Cray C9O processor. Trade-offs between the three algorithms and guidelines for adapting them to more complex molecular dynamics simulations are also discussed. © 1995 Academic Press, Inc.","author":[{"dropping-particle":"","family":"Plimpton","given":"Steve","non-dropping-particle":"","parse-names":false,"suffix":""}],"container-title":"Journal of Computational Physics","id":"ITEM-1","issue":"1","issued":{"date-parts":[["1995","3","1"]]},"page":"1-19","publisher":"Academic Press","title":"Fast Parallel Algorithms for Short-Range Molecular Dynamics","type":"article-journal","volume":"117"},"uris":["http://www.mendeley.com/documents/?uuid=2e45130e-b1ae-31f5-bdd8-3193d0d0e8b2"]}],"mendeley":{"formattedCitation":"[1]","plainTextFormattedCitation":"[1]","previouslyFormattedCitation":"[1]"},"properties":{"noteIndex":0},"schema":"https://github.com/citation-style-language/schema/raw/master/csl-citation.json"}</w:instrText>
      </w:r>
      <w:r w:rsidR="00195279">
        <w:fldChar w:fldCharType="separate"/>
      </w:r>
      <w:r w:rsidR="00195279" w:rsidRPr="00195279">
        <w:rPr>
          <w:noProof/>
        </w:rPr>
        <w:t>[1]</w:t>
      </w:r>
      <w:r w:rsidR="00195279">
        <w:fldChar w:fldCharType="end"/>
      </w:r>
      <w:r>
        <w:t xml:space="preserve"> software package and the U-Mo angular dependent potential (ADP) </w:t>
      </w:r>
      <w:r w:rsidR="00195279">
        <w:fldChar w:fldCharType="begin" w:fldLock="1"/>
      </w:r>
      <w:r w:rsidR="00FB521A">
        <w:instrText>ADDIN CSL_CITATION {"citationItems":[{"id":"ITEM-1","itemData":{"DOI":"10.1016/J.JNUCMAT.2017.11.047","ISSN":"0022-3115","abstract":"We studied structure and thermodynamic properties of cubic and tetragonal phases of pure uranium and U-Mo alloys using atomistic simulations: molecular dynamics and density functional theory. The main attention was paid to the metastable γ0-phase that is formed in U-Mo alloys at low temperature. Structure of γ0-phase is similar to body-centered tetragonal (bct) lattice with displacement of a central atom in the basic cell along [001] direction. Such displacements have opposite orientations for part of the neighbouring basic cells. In this case, such ordering of the displacements can be designated as antiferro-displacement. Formation of such complex structure may be interpreted through forming of short U-U bonds. At heating, the tetragonal structure transforms into cubic γs-phase, still showing ordering of central atom displacements. With rise in temperature, γs-phase transforms to γ-phase with a quasi body-centered cubic (q-bcc) lattice. The local positions of uranium atoms in γ-phase correspond to γs-phase, however, orientations of the central atom displacements become disordered. Transition from γ0 to γ can be considered as antiferro-to paraelastic transition of order-disorder type. This approach to the structure description of uranium alloy allows to explain a number of unusual features found in the experiments: anisotropy of lattice at low temperature; remarkably high self-diffusion mobility in γ-phase; decreasing of electrical resistivity at heating for some alloys. In addition, important part of this work is the development of new interatomic potential for U-Mo system made with taking into account details of studied structures.","author":[{"dropping-particle":"V.","family":"Starikov","given":"S.","non-dropping-particle":"","parse-names":false,"suffix":""},{"dropping-particle":"","family":"Kolotova","given":"L. N.","non-dropping-particle":"","parse-names":false,"suffix":""},{"dropping-particle":"","family":"Kuksin","given":"A. Yu","non-dropping-particle":"","parse-names":false,"suffix":""},{"dropping-particle":"","family":"Smirnova","given":"D. E.","non-dropping-particle":"","parse-names":false,"suffix":""},{"dropping-particle":"","family":"Tseplyaev","given":"V. I.","non-dropping-particle":"","parse-names":false,"suffix":""}],"container-title":"Journal of Nuclear Materials","id":"ITEM-1","issued":{"date-parts":[["2018","2","1"]]},"page":"451-463","publisher":"North-Holland","title":"Atomistic simulation of cubic and tetragonal phases of U-Mo alloy: Structure and thermodynamic properties","type":"article-journal","volume":"499"},"uris":["http://www.mendeley.com/documents/?uuid=d0ff1bd4-eb30-3611-ad1d-07b630446be4"]}],"mendeley":{"formattedCitation":"[2]","plainTextFormattedCitation":"[2]","previouslyFormattedCitation":"[2]"},"properties":{"noteIndex":0},"schema":"https://github.com/citation-style-language/schema/raw/master/csl-citation.json"}</w:instrText>
      </w:r>
      <w:r w:rsidR="00195279">
        <w:fldChar w:fldCharType="separate"/>
      </w:r>
      <w:r w:rsidR="00195279" w:rsidRPr="00195279">
        <w:rPr>
          <w:noProof/>
        </w:rPr>
        <w:t>[2]</w:t>
      </w:r>
      <w:r w:rsidR="00195279">
        <w:fldChar w:fldCharType="end"/>
      </w:r>
      <w:r>
        <w:t>.</w:t>
      </w:r>
      <w:r w:rsidR="00706FA1">
        <w:t xml:space="preserve"> </w:t>
      </w:r>
      <w:r w:rsidR="00FB521A">
        <w:t xml:space="preserve">A 14x14x14 supercell consisting of 5488 atoms is constructed in a body-centered cubic (bcc) structure. </w:t>
      </w:r>
      <w:r>
        <w:t>Relaxation is performed in an NPT-ensemble, relaxing each x, y, and z component individually, with a damping parameter of 0.1. A Nose-Hoover thermostat is utilized with the damping parameter set to 0.1 ps. Systems are investigated over a range of temperatures,</w:t>
      </w:r>
      <w:r w:rsidR="002E0198">
        <w:t xml:space="preserve"> </w:t>
      </w:r>
      <w:r>
        <w:t>from 600 K up to 1200 K</w:t>
      </w:r>
      <w:r w:rsidR="008E7E54">
        <w:t>, in increments of 200 K</w:t>
      </w:r>
      <w:r>
        <w:t xml:space="preserve">. This temperature range was chosen due to the inherent properties of the potential, in that below 600 K </w:t>
      </w:r>
      <w:proofErr w:type="spellStart"/>
      <w:r>
        <w:rPr>
          <w:i/>
        </w:rPr>
        <w:t>γ</w:t>
      </w:r>
      <w:r>
        <w:t>U</w:t>
      </w:r>
      <w:proofErr w:type="spellEnd"/>
      <w:r>
        <w:t xml:space="preserve"> becomes mechanically unstable and above 1200 K the crystal structure is approaching the melting point.</w:t>
      </w:r>
      <w:r w:rsidR="00706FA1">
        <w:t xml:space="preserve"> </w:t>
      </w:r>
      <w:r>
        <w:t xml:space="preserve">Systems are relaxed for 100 </w:t>
      </w:r>
      <w:proofErr w:type="spellStart"/>
      <w:r>
        <w:t>ps</w:t>
      </w:r>
      <w:proofErr w:type="spellEnd"/>
      <w:r>
        <w:t xml:space="preserve">, with </w:t>
      </w:r>
      <w:r w:rsidR="00706FA1">
        <w:t xml:space="preserve">volumes </w:t>
      </w:r>
      <w:r>
        <w:t>averaged over the final 50 ps.</w:t>
      </w:r>
      <w:r w:rsidR="00706FA1">
        <w:t xml:space="preserve"> The equilibration is performed at a given pressure, ranging from -10 kbar to +10 kbar (-1 </w:t>
      </w:r>
      <w:proofErr w:type="spellStart"/>
      <w:r w:rsidR="00706FA1">
        <w:t>GPa</w:t>
      </w:r>
      <w:proofErr w:type="spellEnd"/>
      <w:r w:rsidR="00706FA1">
        <w:t xml:space="preserve"> to +1 </w:t>
      </w:r>
      <w:proofErr w:type="spellStart"/>
      <w:r w:rsidR="00706FA1">
        <w:t>GPa</w:t>
      </w:r>
      <w:proofErr w:type="spellEnd"/>
      <w:r w:rsidR="00706FA1">
        <w:t xml:space="preserve">) in increments of 5 kbar. This pressure range should exceed any expected stress state of the fuel, and as such should present the possibilities of extreme behavior on defect evolution. Additionally, trends in behavior can be determined and explored at the pressures of interest. </w:t>
      </w:r>
      <w:r w:rsidR="00FF3A74">
        <w:t xml:space="preserve">Eight individual compositions are investigated, including bcc U and bcc Mo, U-5Mo, U-10Mo, U-15Mo, U-30Mo, U-50Mo, and U-70Mo. </w:t>
      </w:r>
      <w:r w:rsidR="00DB7525">
        <w:t xml:space="preserve">All compositions are given in weight percent unless otherwise noted. This variation </w:t>
      </w:r>
      <w:r w:rsidR="00DB7525">
        <w:lastRenderedPageBreak/>
        <w:t xml:space="preserve">in composition allows for analysis for a wide range of U-Mo systems, including all relevant compositions in monolithic fuel.  </w:t>
      </w:r>
    </w:p>
    <w:p w14:paraId="686ED6F5" w14:textId="5D911456" w:rsidR="00706FA1" w:rsidRDefault="00706FA1" w:rsidP="00706FA1">
      <w:pPr>
        <w:ind w:left="-5" w:right="0"/>
      </w:pPr>
      <w:r>
        <w:t xml:space="preserve">Following the relaxation, the system is scaled to the averaged volume as determined from the NPT simulation. A relaxation of 50 </w:t>
      </w:r>
      <w:proofErr w:type="spellStart"/>
      <w:r>
        <w:t>ps</w:t>
      </w:r>
      <w:proofErr w:type="spellEnd"/>
      <w:r>
        <w:t xml:space="preserve"> is performed, the final 25 </w:t>
      </w:r>
      <w:proofErr w:type="spellStart"/>
      <w:r>
        <w:t>ps</w:t>
      </w:r>
      <w:proofErr w:type="spellEnd"/>
      <w:r>
        <w:t xml:space="preserve"> of which is utilized to determine average energies. A defect (vacancy or interstitial) is then inserted into the system and allowed to evolve for 50 </w:t>
      </w:r>
      <w:proofErr w:type="spellStart"/>
      <w:r>
        <w:t>ps</w:t>
      </w:r>
      <w:proofErr w:type="spellEnd"/>
      <w:r>
        <w:t xml:space="preserve">, </w:t>
      </w:r>
      <w:r>
        <w:t xml:space="preserve">the final 25 </w:t>
      </w:r>
      <w:proofErr w:type="spellStart"/>
      <w:r>
        <w:t>ps</w:t>
      </w:r>
      <w:proofErr w:type="spellEnd"/>
      <w:r>
        <w:t xml:space="preserve"> of which is utilized to determine average energies.</w:t>
      </w:r>
      <w:r>
        <w:t xml:space="preserve"> For an alloy composition, a proportional number of atoms are either removed or inserted, depending on the defect type, to closely maintain the stoichiometry of the system. </w:t>
      </w:r>
      <w:r w:rsidR="00BE57B1">
        <w:t xml:space="preserve">For interstitials, an atom is randomly deposited into the supercell, provided that no other atom is within 1.5 Å, allowing for a random sampling of the entire supercell and all possible local configurational environments. To ensure statistical certainty of the results, 2000 simulations for each defect type, pressure, and temperature are performed. </w:t>
      </w:r>
    </w:p>
    <w:p w14:paraId="2250A005" w14:textId="77777777" w:rsidR="00BE57B1" w:rsidRDefault="00BE57B1" w:rsidP="00706FA1">
      <w:pPr>
        <w:ind w:left="-5" w:right="0"/>
      </w:pPr>
      <w:r>
        <w:t>The formation energy is defined as:</w:t>
      </w:r>
    </w:p>
    <w:p w14:paraId="21C61191" w14:textId="27AFE77E" w:rsidR="00BE57B1" w:rsidRDefault="00BE57B1" w:rsidP="00706FA1">
      <w:pPr>
        <w:ind w:left="-5" w:right="0"/>
      </w:pPr>
      <w:r>
        <w:t xml:space="preserve"> </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f</m:t>
            </m:r>
          </m:sub>
          <m:sup>
            <m:r>
              <w:rPr>
                <w:rFonts w:ascii="Cambria Math" w:hAnsi="Cambria Math"/>
              </w:rPr>
              <m:t>def</m:t>
            </m:r>
          </m:sup>
        </m:sSubSup>
        <m:r>
          <w:rPr>
            <w:rFonts w:ascii="Cambria Math" w:hAnsi="Cambria Math"/>
          </w:rPr>
          <m:t xml:space="preserve">- </m:t>
        </m:r>
        <m:f>
          <m:fPr>
            <m:ctrlPr>
              <w:rPr>
                <w:rFonts w:ascii="Cambria Math" w:hAnsi="Cambria Math"/>
                <w:i/>
              </w:rPr>
            </m:ctrlPr>
          </m:fPr>
          <m:num>
            <m:r>
              <w:rPr>
                <w:rFonts w:ascii="Cambria Math" w:hAnsi="Cambria Math"/>
              </w:rPr>
              <m:t>n±1</m:t>
            </m:r>
          </m:num>
          <m:den>
            <m:r>
              <w:rPr>
                <w:rFonts w:ascii="Cambria Math" w:hAnsi="Cambria Math"/>
              </w:rPr>
              <m:t>n</m:t>
            </m:r>
          </m:den>
        </m:f>
        <m:sSubSup>
          <m:sSubSupPr>
            <m:ctrlPr>
              <w:rPr>
                <w:rFonts w:ascii="Cambria Math" w:hAnsi="Cambria Math"/>
                <w:i/>
              </w:rPr>
            </m:ctrlPr>
          </m:sSubSupPr>
          <m:e>
            <m:r>
              <w:rPr>
                <w:rFonts w:ascii="Cambria Math" w:hAnsi="Cambria Math"/>
              </w:rPr>
              <m:t>E</m:t>
            </m:r>
          </m:e>
          <m:sub>
            <m:r>
              <w:rPr>
                <w:rFonts w:ascii="Cambria Math" w:hAnsi="Cambria Math"/>
              </w:rPr>
              <m:t>f</m:t>
            </m:r>
          </m:sub>
          <m:sup>
            <m:r>
              <w:rPr>
                <w:rFonts w:ascii="Cambria Math" w:hAnsi="Cambria Math"/>
              </w:rPr>
              <m:t>bulk</m:t>
            </m:r>
          </m:sup>
        </m:sSubSup>
      </m:oMath>
    </w:p>
    <w:p w14:paraId="4E43B035" w14:textId="4B094DE0" w:rsidR="00706FA1" w:rsidRDefault="00BE57B1" w:rsidP="00706FA1">
      <w:pPr>
        <w:ind w:left="-5" w:right="0"/>
      </w:pPr>
      <w:r>
        <w:t xml:space="preserve">where </w:t>
      </w:r>
      <w:r>
        <w:rPr>
          <w:i/>
          <w:iCs/>
        </w:rPr>
        <w:t>n</w:t>
      </w:r>
      <w:r>
        <w:t xml:space="preserve"> </w:t>
      </w:r>
      <w:r>
        <w:t>is the total number of atoms in the system with no defects</w:t>
      </w:r>
      <w:r>
        <w:t xml:space="preserve"> and </w:t>
      </w:r>
      <m:oMath>
        <m:sSubSup>
          <m:sSubSupPr>
            <m:ctrlPr>
              <w:rPr>
                <w:rFonts w:ascii="Cambria Math" w:hAnsi="Cambria Math"/>
                <w:i/>
              </w:rPr>
            </m:ctrlPr>
          </m:sSubSupPr>
          <m:e>
            <m:r>
              <w:rPr>
                <w:rFonts w:ascii="Cambria Math" w:hAnsi="Cambria Math"/>
              </w:rPr>
              <m:t>E</m:t>
            </m:r>
          </m:e>
          <m:sub>
            <m:r>
              <w:rPr>
                <w:rFonts w:ascii="Cambria Math" w:hAnsi="Cambria Math"/>
              </w:rPr>
              <m:t>f</m:t>
            </m:r>
          </m:sub>
          <m:sup>
            <m:r>
              <w:rPr>
                <w:rFonts w:ascii="Cambria Math" w:hAnsi="Cambria Math"/>
              </w:rPr>
              <m:t>bulk</m:t>
            </m:r>
          </m:sup>
        </m:sSubSup>
      </m:oMath>
      <w:r>
        <w:t xml:space="preserve"> or </w:t>
      </w:r>
      <m:oMath>
        <m:sSubSup>
          <m:sSubSupPr>
            <m:ctrlPr>
              <w:rPr>
                <w:rFonts w:ascii="Cambria Math" w:hAnsi="Cambria Math"/>
                <w:i/>
              </w:rPr>
            </m:ctrlPr>
          </m:sSubSupPr>
          <m:e>
            <m:r>
              <w:rPr>
                <w:rFonts w:ascii="Cambria Math" w:hAnsi="Cambria Math"/>
              </w:rPr>
              <m:t>E</m:t>
            </m:r>
          </m:e>
          <m:sub>
            <m:r>
              <w:rPr>
                <w:rFonts w:ascii="Cambria Math" w:hAnsi="Cambria Math"/>
              </w:rPr>
              <m:t>f</m:t>
            </m:r>
          </m:sub>
          <m:sup>
            <m:r>
              <w:rPr>
                <w:rFonts w:ascii="Cambria Math" w:hAnsi="Cambria Math"/>
              </w:rPr>
              <m:t>def</m:t>
            </m:r>
          </m:sup>
        </m:sSubSup>
      </m:oMath>
      <w:r>
        <w:t xml:space="preserve"> is defined as:</w:t>
      </w:r>
    </w:p>
    <w:p w14:paraId="4193C65B" w14:textId="5CC11879" w:rsidR="00BE57B1" w:rsidRDefault="00BE57B1" w:rsidP="00706FA1">
      <w:pPr>
        <w:ind w:left="-5" w:right="0"/>
      </w:pPr>
      <m:oMath>
        <m:sSubSup>
          <m:sSubSupPr>
            <m:ctrlPr>
              <w:rPr>
                <w:rFonts w:ascii="Cambria Math" w:hAnsi="Cambria Math"/>
                <w:i/>
              </w:rPr>
            </m:ctrlPr>
          </m:sSubSupPr>
          <m:e>
            <m:r>
              <w:rPr>
                <w:rFonts w:ascii="Cambria Math" w:hAnsi="Cambria Math"/>
              </w:rPr>
              <m:t>E</m:t>
            </m:r>
          </m:e>
          <m:sub>
            <m:r>
              <w:rPr>
                <w:rFonts w:ascii="Cambria Math" w:hAnsi="Cambria Math"/>
              </w:rPr>
              <m:t>f</m:t>
            </m:r>
          </m:sub>
          <m:sup>
            <m:r>
              <w:rPr>
                <w:rFonts w:ascii="Cambria Math" w:hAnsi="Cambria Math"/>
              </w:rPr>
              <m:t>def/</m:t>
            </m:r>
            <m:r>
              <w:rPr>
                <w:rFonts w:ascii="Cambria Math" w:hAnsi="Cambria Math"/>
              </w:rPr>
              <m:t>bulk</m:t>
            </m:r>
          </m:sup>
        </m:sSub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U</m:t>
            </m:r>
          </m:sub>
        </m:sSub>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Mo</m:t>
            </m:r>
          </m:sub>
        </m:sSub>
        <m:sSub>
          <m:sSubPr>
            <m:ctrlPr>
              <w:rPr>
                <w:rFonts w:ascii="Cambria Math" w:hAnsi="Cambria Math"/>
                <w:i/>
              </w:rPr>
            </m:ctrlPr>
          </m:sSubPr>
          <m:e>
            <m:r>
              <w:rPr>
                <w:rFonts w:ascii="Cambria Math" w:hAnsi="Cambria Math"/>
              </w:rPr>
              <m:t>E</m:t>
            </m:r>
          </m:e>
          <m:sub>
            <m:r>
              <w:rPr>
                <w:rFonts w:ascii="Cambria Math" w:hAnsi="Cambria Math"/>
              </w:rPr>
              <m:t>Mo</m:t>
            </m:r>
          </m:sub>
        </m:sSub>
      </m:oMath>
      <w:r>
        <w:t xml:space="preserve"> </w:t>
      </w:r>
    </w:p>
    <w:p w14:paraId="6A1D940A" w14:textId="197BE958" w:rsidR="00BE57B1" w:rsidRDefault="00BE57B1" w:rsidP="00BE57B1">
      <w:pPr>
        <w:ind w:left="-5" w:right="0"/>
      </w:pPr>
      <w:r>
        <w:t xml:space="preserve">where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total energy of the system either with or without a defect,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t xml:space="preserve"> is the number of uranium atoms in the system, </w:t>
      </w:r>
      <m:oMath>
        <m:sSub>
          <m:sSubPr>
            <m:ctrlPr>
              <w:rPr>
                <w:rFonts w:ascii="Cambria Math" w:hAnsi="Cambria Math"/>
                <w:i/>
              </w:rPr>
            </m:ctrlPr>
          </m:sSubPr>
          <m:e>
            <m:r>
              <w:rPr>
                <w:rFonts w:ascii="Cambria Math" w:hAnsi="Cambria Math"/>
              </w:rPr>
              <m:t>E</m:t>
            </m:r>
          </m:e>
          <m:sub>
            <m:r>
              <w:rPr>
                <w:rFonts w:ascii="Cambria Math" w:hAnsi="Cambria Math"/>
              </w:rPr>
              <m:t>U</m:t>
            </m:r>
          </m:sub>
        </m:sSub>
      </m:oMath>
      <w:r>
        <w:t xml:space="preserve"> is the energy per atom of U, </w:t>
      </w:r>
      <m:oMath>
        <m:sSub>
          <m:sSubPr>
            <m:ctrlPr>
              <w:rPr>
                <w:rFonts w:ascii="Cambria Math" w:hAnsi="Cambria Math"/>
                <w:i/>
              </w:rPr>
            </m:ctrlPr>
          </m:sSubPr>
          <m:e>
            <m:r>
              <w:rPr>
                <w:rFonts w:ascii="Cambria Math" w:hAnsi="Cambria Math"/>
              </w:rPr>
              <m:t>N</m:t>
            </m:r>
          </m:e>
          <m:sub>
            <m:r>
              <w:rPr>
                <w:rFonts w:ascii="Cambria Math" w:hAnsi="Cambria Math"/>
              </w:rPr>
              <m:t>Mo</m:t>
            </m:r>
          </m:sub>
        </m:sSub>
      </m:oMath>
      <w:r>
        <w:t xml:space="preserve"> is the number of molybdenum atoms in the system, and </w:t>
      </w:r>
      <m:oMath>
        <m:sSub>
          <m:sSubPr>
            <m:ctrlPr>
              <w:rPr>
                <w:rFonts w:ascii="Cambria Math" w:hAnsi="Cambria Math"/>
                <w:i/>
              </w:rPr>
            </m:ctrlPr>
          </m:sSubPr>
          <m:e>
            <m:r>
              <w:rPr>
                <w:rFonts w:ascii="Cambria Math" w:hAnsi="Cambria Math"/>
              </w:rPr>
              <m:t>E</m:t>
            </m:r>
          </m:e>
          <m:sub>
            <m:r>
              <w:rPr>
                <w:rFonts w:ascii="Cambria Math" w:hAnsi="Cambria Math"/>
              </w:rPr>
              <m:t>Mo</m:t>
            </m:r>
          </m:sub>
        </m:sSub>
      </m:oMath>
      <w:r>
        <w:t xml:space="preserve"> is the energy per atom of Mo. The energy is defined for a given temperature and pressure, according to the system of interest. </w:t>
      </w:r>
    </w:p>
    <w:p w14:paraId="35058F44" w14:textId="281CB3E9" w:rsidR="00BE57B1" w:rsidRDefault="00BE57B1" w:rsidP="00BE57B1">
      <w:pPr>
        <w:ind w:left="-5" w:right="0"/>
      </w:pPr>
    </w:p>
    <w:p w14:paraId="702EC69C" w14:textId="04DF3BE4" w:rsidR="00FF3A74" w:rsidRPr="00BE57B1" w:rsidRDefault="00FF3A74" w:rsidP="00BE57B1">
      <w:pPr>
        <w:ind w:left="-5" w:right="0"/>
      </w:pPr>
      <w:r>
        <w:t xml:space="preserve">The diffusion coefficient as a function of temperature and pressure is determined for the same sets of pressures as described above, but only for temperatures at 800 K and above. This is due to the limited thermal diffusion at low temperatures on a molecular dynamics time scale. </w:t>
      </w:r>
      <w:r w:rsidR="00DB7525">
        <w:t xml:space="preserve">The number of compositions is reduced to five (bcc U, U-5Mo, U-10Mo, U-15Mo, and bcc Mo) due to the computational cost associated with diffusion calculations. However, the primary concentration range of interest for U-Mo monolithic fuel is encompassed by this compositional range. An identical procedure is followed for the implementation of defects for investigation of diffusion as that which was followed for the investigation of defect energies. Following the defect insertion and relaxation, an additional evolution step of 10 ns was performed, over which the mean-squared displacement of the total system, and of each elemental species, was tracked. </w:t>
      </w:r>
      <w:r w:rsidR="000D7280">
        <w:t xml:space="preserve">Over this 10 ns trajectory, three overlapping trajectories were obtained, each of length 6 ns, in order to subsample the trajectory and increase the statistics of the dataset. Additionally, five unique simulations are performed for each </w:t>
      </w:r>
      <w:r w:rsidR="000D7280">
        <w:lastRenderedPageBreak/>
        <w:t xml:space="preserve">temperature, composition, and pressure, to further ensure statistical significance of the results. </w:t>
      </w:r>
      <w:r w:rsidR="007B6E56">
        <w:t>This results in a standard error for defect energies of less than 0.05 eV.</w:t>
      </w:r>
    </w:p>
    <w:p w14:paraId="2472D7D9" w14:textId="77777777" w:rsidR="00BE57B1" w:rsidRDefault="00BE57B1" w:rsidP="00BE57B1">
      <w:pPr>
        <w:ind w:left="-5" w:right="0"/>
      </w:pPr>
    </w:p>
    <w:p w14:paraId="70F3AC6C" w14:textId="1326D01A" w:rsidR="00BD36F5" w:rsidRDefault="00FD6259" w:rsidP="00DB7525">
      <w:pPr>
        <w:pStyle w:val="Heading1"/>
      </w:pPr>
      <w:r>
        <w:t>Results</w:t>
      </w:r>
    </w:p>
    <w:p w14:paraId="530A3F40" w14:textId="220D1F96" w:rsidR="00EA597F" w:rsidRPr="00EA597F" w:rsidRDefault="00EA597F" w:rsidP="00EA597F">
      <w:pPr>
        <w:pStyle w:val="Heading2"/>
      </w:pPr>
      <w:r>
        <w:t>3.1. Point Defect Formation Energies</w:t>
      </w:r>
    </w:p>
    <w:p w14:paraId="04510F88" w14:textId="583C5064" w:rsidR="00FB521A" w:rsidRDefault="00FB521A" w:rsidP="00FB521A">
      <w:r>
        <w:t xml:space="preserve">An example of the formation energy as a function of pressure for U-10Mo at 1200 K is shown in </w:t>
      </w:r>
      <w:bookmarkStart w:id="0" w:name="OLE_LINK4"/>
      <w:r>
        <w:fldChar w:fldCharType="begin"/>
      </w:r>
      <w:r>
        <w:instrText xml:space="preserve"> REF _Ref82440103 </w:instrText>
      </w:r>
      <w:r>
        <w:fldChar w:fldCharType="separate"/>
      </w:r>
      <w:r>
        <w:t xml:space="preserve">Figure </w:t>
      </w:r>
      <w:r>
        <w:rPr>
          <w:noProof/>
        </w:rPr>
        <w:t>1</w:t>
      </w:r>
      <w:r>
        <w:fldChar w:fldCharType="end"/>
      </w:r>
      <w:bookmarkEnd w:id="0"/>
      <w:r>
        <w:t xml:space="preserve">. In correspondence with prior work </w:t>
      </w:r>
      <w:r>
        <w:fldChar w:fldCharType="begin" w:fldLock="1"/>
      </w:r>
      <w:r>
        <w:instrText>ADDIN CSL_CITATION {"citationItems":[{"id":"ITEM-1","itemData":{"DOI":"10.1016/J.JNUCMAT.2021.152970","ISSN":"0022-3115","abstract":"Uranium-molybdenum (U-Mo) alloys are promising candidates for high-performance research and test reactors, as well as fast reactors. The metastable γ phase, which shows acceptable irradiation performance, is retained by alloying U with Mo with specific quenching conditions. Point defects contribute to the atomic diffusion process, defect clustering, creep, irradiation hardening, and swelling of nuclear fuels, all of which play a role in fuel performance. In this work, properties of point defects in γU and γU-xMo (x = 7, 10, 12 wt.%) were investigated. Vacancy and self-interstitial formation energies in γU and γU-xMo were calculated with molecular dynamics (MD) simulations using an embedded atom method interatomic potential for the U-Mo system. Formation energies of point defects were calculated in the temperature range between 400 K and 1200 K. The vacancy formation energy was higher than the self-interstitial formation energy in both γU and γU-xMo in the evaluated temperature range, which supports the previous results obtained via first-principles calculations and MD simulations. In γU-xMo, the vacancy formation energy decreased with increasing Mo content, whereas the self-interstitial formation energy increased with increasing Mo content in the temperature range of 400 K to 1200 K. The self-diffusion and interdiffusion coefficients were also determined in γU-xMo as a function of temperature. Diffusion of U and Mo atoms in γU-xMo were negligible below 800 K. The self-diffusion and interdiffusion coefficients decreased with increasing Mo concentration, which qualitatively agreed with the previous experimental observations. Point defect formation energies, self-diffusion coefficients, and interdiffusion coefficients in γU-xMo calculated in the present work can be used as input parameters in mesoscale and engineering scale fuel performance modeling.","author":[{"dropping-particle":"","family":"Park","given":"Gyuchul","non-dropping-particle":"","parse-names":false,"suffix":""},{"dropping-particle":"","family":"Beeler","given":"Benjamin","non-dropping-particle":"","parse-names":false,"suffix":""},{"dropping-particle":"","family":"Okuniewski","given":"Maria A.","non-dropping-particle":"","parse-names":false,"suffix":""}],"container-title":"Journal of Nuclear Materials","id":"ITEM-1","issued":{"date-parts":[["2021","8","15"]]},"page":"152970","publisher":"North-Holland","title":"An atomistic study of defect energetics and diffusion with respect to composition and temperature in γU and γU-Mo alloys","type":"article-journal","volume":"552"},"uris":["http://www.mendeley.com/documents/?uuid=059d4804-9849-3e65-b155-62b3b56a4f20"]}],"mendeley":{"formattedCitation":"[3]","plainTextFormattedCitation":"[3]"},"properties":{"noteIndex":0},"schema":"https://github.com/citation-style-language/schema/raw/master/csl-citation.json"}</w:instrText>
      </w:r>
      <w:r>
        <w:fldChar w:fldCharType="separate"/>
      </w:r>
      <w:r w:rsidRPr="00FB521A">
        <w:rPr>
          <w:noProof/>
        </w:rPr>
        <w:t>[3]</w:t>
      </w:r>
      <w:r>
        <w:fldChar w:fldCharType="end"/>
      </w:r>
      <w:r>
        <w:t xml:space="preserve"> on defect energetics in U-Mo systems, the interstitial formation energy for the nominal case is less than 1 eV (0.62 eV) and the vacancy formation energy is significantly high than the interstitial formation energy (1.92 eV). Considering slight differences in methodology, this is reasonable agreement with the previous literature. </w:t>
      </w:r>
      <w:r w:rsidR="00AF24F5">
        <w:t xml:space="preserve">From </w:t>
      </w:r>
      <w:r w:rsidR="00AF24F5">
        <w:fldChar w:fldCharType="begin"/>
      </w:r>
      <w:r w:rsidR="00AF24F5">
        <w:instrText xml:space="preserve"> REF _Ref82440103 </w:instrText>
      </w:r>
      <w:r w:rsidR="00AF24F5">
        <w:fldChar w:fldCharType="separate"/>
      </w:r>
      <w:r w:rsidR="00AF24F5">
        <w:t xml:space="preserve">Figure </w:t>
      </w:r>
      <w:r w:rsidR="00AF24F5">
        <w:rPr>
          <w:noProof/>
        </w:rPr>
        <w:t>1</w:t>
      </w:r>
      <w:r w:rsidR="00AF24F5">
        <w:fldChar w:fldCharType="end"/>
      </w:r>
      <w:r w:rsidR="00AF24F5">
        <w:t xml:space="preserve">, </w:t>
      </w:r>
      <w:proofErr w:type="gramStart"/>
      <w:r w:rsidR="00AF24F5">
        <w:t xml:space="preserve">it can be seen that </w:t>
      </w:r>
      <w:r w:rsidR="007B6E56">
        <w:t>as</w:t>
      </w:r>
      <w:proofErr w:type="gramEnd"/>
      <w:r w:rsidR="007B6E56">
        <w:t xml:space="preserve"> vacancies and interstitials exhibit opposite trends as a function of applied pressure, as would be expected. As a crystal structure is compressed (positive pressure), atoms are closer together than in the equilibrium case. As such, it would be expected that a vacancy is more easily formed in the compressive state, and this is indeed observed. In the tensile state (negative pressure), atoms are farther apart than at equilibrium and there is additional space between the atoms. In this case, it would be expected that it is comparatively easier for an interstitial for form, and this is indeed observed. There is a generally linear dependence of the formation energy on the applied pressure in the system, with vacancies exhibiting a negative slope and interstitials exhibiting a positive slope. The total magnitude change in the defect formation energy for this case is 0.14 eV and 0.17 eV for interstitials and vacancies, respectively. This corresponds to approximately a 4-5X higher defect concentration across this pressure range. </w:t>
      </w:r>
    </w:p>
    <w:p w14:paraId="74F5DF96" w14:textId="178F7B13" w:rsidR="00FB521A" w:rsidRDefault="00FB521A" w:rsidP="00FB521A"/>
    <w:p w14:paraId="53C4E293" w14:textId="77777777" w:rsidR="00FB521A" w:rsidRDefault="00FB521A" w:rsidP="00FB521A">
      <w:pPr>
        <w:keepNext/>
        <w:jc w:val="center"/>
      </w:pPr>
      <w:r>
        <w:rPr>
          <w:noProof/>
        </w:rPr>
        <w:lastRenderedPageBreak/>
        <w:drawing>
          <wp:inline distT="0" distB="0" distL="0" distR="0" wp14:anchorId="35F064F9" wp14:editId="625E838A">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657600"/>
                    </a:xfrm>
                    <a:prstGeom prst="rect">
                      <a:avLst/>
                    </a:prstGeom>
                  </pic:spPr>
                </pic:pic>
              </a:graphicData>
            </a:graphic>
          </wp:inline>
        </w:drawing>
      </w:r>
    </w:p>
    <w:p w14:paraId="76714BDC" w14:textId="2FE9653B" w:rsidR="00FB521A" w:rsidRDefault="00FB521A" w:rsidP="00FB521A">
      <w:pPr>
        <w:pStyle w:val="Caption"/>
        <w:jc w:val="center"/>
      </w:pPr>
      <w:bookmarkStart w:id="1" w:name="_Ref82440103"/>
      <w:r>
        <w:t xml:space="preserve">Figure </w:t>
      </w:r>
      <w:fldSimple w:instr=" SEQ Figure \* ARABIC ">
        <w:r w:rsidR="00D3522B">
          <w:rPr>
            <w:noProof/>
          </w:rPr>
          <w:t>1</w:t>
        </w:r>
      </w:fldSimple>
      <w:bookmarkEnd w:id="1"/>
      <w:r>
        <w:t xml:space="preserve">. The interstitial and vacancy formation energy as a function of pressure for U-10Mo at 1200 K. </w:t>
      </w:r>
    </w:p>
    <w:p w14:paraId="6B5C49AB" w14:textId="1CE4E50C" w:rsidR="00FB521A" w:rsidRDefault="00FB521A" w:rsidP="00FB521A"/>
    <w:p w14:paraId="1433B33C" w14:textId="18841458" w:rsidR="007B6E56" w:rsidRDefault="007B6E56" w:rsidP="00FB521A">
      <w:r>
        <w:t xml:space="preserve">Generalizing to the U-Mo system, the interstitial and vacancy formation energies as a function of composition and pressure at 1200 K are shown in </w:t>
      </w:r>
      <w:fldSimple w:instr=" REF _Ref82441159 ">
        <w:r>
          <w:t xml:space="preserve">Figure </w:t>
        </w:r>
        <w:r>
          <w:rPr>
            <w:noProof/>
          </w:rPr>
          <w:t>2</w:t>
        </w:r>
      </w:fldSimple>
      <w:r>
        <w:t xml:space="preserve"> and </w:t>
      </w:r>
      <w:fldSimple w:instr=" REF _Ref82441162 ">
        <w:r>
          <w:t xml:space="preserve">Figure </w:t>
        </w:r>
        <w:r>
          <w:rPr>
            <w:noProof/>
          </w:rPr>
          <w:t>3</w:t>
        </w:r>
      </w:fldSimple>
      <w:r>
        <w:t xml:space="preserve">, respectively. The defect formation energies vary in a similar manner as a function of composition, with a minimum in the formation energy at 20-30 atomic percent. Interestingly, this is the target composition (22 atomic percent) for U-Mo monolithic fuel. Additionally, defect energies are at a maximum for the pure bcc Mo system for both interstitials and vacancies. The pressure sensitivity is not uniform for defect type and composition, in that interstitials are the most sensitive to pressure at intermediate compositions (40-60 atomic percent), while vacancies are the most sensitive to pressure in the U-rich regime. The trends of applied pressure observed in </w:t>
      </w:r>
      <w:fldSimple w:instr=" REF _Ref82440103 ">
        <w:r>
          <w:t xml:space="preserve">Figure </w:t>
        </w:r>
        <w:r>
          <w:rPr>
            <w:noProof/>
          </w:rPr>
          <w:t>1</w:t>
        </w:r>
      </w:fldSimple>
      <w:r>
        <w:t xml:space="preserve"> hold for all compositions. </w:t>
      </w:r>
    </w:p>
    <w:p w14:paraId="4A7B6AF0" w14:textId="77777777" w:rsidR="00FB521A" w:rsidRPr="00FB521A" w:rsidRDefault="00FB521A" w:rsidP="00FB521A"/>
    <w:p w14:paraId="5C5575BF" w14:textId="77777777" w:rsidR="00D24ADE" w:rsidRDefault="00D24ADE" w:rsidP="00D24ADE">
      <w:pPr>
        <w:keepNext/>
        <w:spacing w:after="350"/>
        <w:ind w:left="-5" w:right="0"/>
        <w:jc w:val="center"/>
      </w:pPr>
      <w:r>
        <w:rPr>
          <w:noProof/>
        </w:rPr>
        <w:lastRenderedPageBreak/>
        <w:drawing>
          <wp:inline distT="0" distB="0" distL="0" distR="0" wp14:anchorId="1623250E" wp14:editId="457647D9">
            <wp:extent cx="4487517"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7517" cy="3200400"/>
                    </a:xfrm>
                    <a:prstGeom prst="rect">
                      <a:avLst/>
                    </a:prstGeom>
                  </pic:spPr>
                </pic:pic>
              </a:graphicData>
            </a:graphic>
          </wp:inline>
        </w:drawing>
      </w:r>
    </w:p>
    <w:p w14:paraId="57E9E452" w14:textId="2FB8FC51" w:rsidR="000D7280" w:rsidRDefault="00D24ADE" w:rsidP="00D24ADE">
      <w:pPr>
        <w:pStyle w:val="Caption"/>
        <w:jc w:val="center"/>
      </w:pPr>
      <w:bookmarkStart w:id="2" w:name="_Ref82441159"/>
      <w:r>
        <w:t xml:space="preserve">Figure </w:t>
      </w:r>
      <w:fldSimple w:instr=" SEQ Figure \* ARABIC ">
        <w:r w:rsidR="00D3522B">
          <w:rPr>
            <w:noProof/>
          </w:rPr>
          <w:t>2</w:t>
        </w:r>
      </w:fldSimple>
      <w:bookmarkEnd w:id="2"/>
      <w:r>
        <w:t xml:space="preserve">. The interstitial </w:t>
      </w:r>
      <w:bookmarkStart w:id="3" w:name="OLE_LINK3"/>
      <w:r>
        <w:t>formation energy as a function of composition for five applied pressures</w:t>
      </w:r>
      <w:r w:rsidR="00FB521A">
        <w:t xml:space="preserve"> at 1200 K.</w:t>
      </w:r>
      <w:bookmarkEnd w:id="3"/>
    </w:p>
    <w:p w14:paraId="7B2B3464" w14:textId="77777777" w:rsidR="00D24ADE" w:rsidRDefault="00D24ADE" w:rsidP="00D24ADE">
      <w:pPr>
        <w:keepNext/>
        <w:spacing w:after="350"/>
        <w:ind w:left="-5" w:right="0"/>
        <w:jc w:val="center"/>
      </w:pPr>
      <w:r>
        <w:rPr>
          <w:noProof/>
        </w:rPr>
        <w:drawing>
          <wp:inline distT="0" distB="0" distL="0" distR="0" wp14:anchorId="19CC4740" wp14:editId="4A40051D">
            <wp:extent cx="448751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7517" cy="3200400"/>
                    </a:xfrm>
                    <a:prstGeom prst="rect">
                      <a:avLst/>
                    </a:prstGeom>
                  </pic:spPr>
                </pic:pic>
              </a:graphicData>
            </a:graphic>
          </wp:inline>
        </w:drawing>
      </w:r>
    </w:p>
    <w:p w14:paraId="5FC6A09F" w14:textId="72F18EB8" w:rsidR="00D24ADE" w:rsidRDefault="00D24ADE" w:rsidP="00D24ADE">
      <w:pPr>
        <w:pStyle w:val="Caption"/>
        <w:jc w:val="center"/>
      </w:pPr>
      <w:bookmarkStart w:id="4" w:name="_Ref82441162"/>
      <w:r>
        <w:t xml:space="preserve">Figure </w:t>
      </w:r>
      <w:fldSimple w:instr=" SEQ Figure \* ARABIC ">
        <w:r w:rsidR="00D3522B">
          <w:rPr>
            <w:noProof/>
          </w:rPr>
          <w:t>3</w:t>
        </w:r>
      </w:fldSimple>
      <w:bookmarkEnd w:id="4"/>
      <w:r w:rsidR="00FB521A">
        <w:t xml:space="preserve">. The vacancy </w:t>
      </w:r>
      <w:r w:rsidR="00FB521A">
        <w:t>formation energy as a function of composition for five applied pressures at 1200 K.</w:t>
      </w:r>
    </w:p>
    <w:p w14:paraId="3AC133A6" w14:textId="10C0AA09" w:rsidR="0090360B" w:rsidRDefault="0090360B" w:rsidP="0090360B">
      <w:pPr>
        <w:keepNext/>
        <w:jc w:val="left"/>
      </w:pPr>
      <w:r>
        <w:lastRenderedPageBreak/>
        <w:t xml:space="preserve">The temperature dependence of the nominal pressure defect formation energies is shown in </w:t>
      </w:r>
      <w:fldSimple w:instr=" REF _Ref82442553 ">
        <w:r>
          <w:t xml:space="preserve">Figure </w:t>
        </w:r>
        <w:r>
          <w:rPr>
            <w:noProof/>
          </w:rPr>
          <w:t>4</w:t>
        </w:r>
      </w:fldSimple>
      <w:r>
        <w:t>. For interstitials, the temperature dependence undergoes an inflection point as a function of composition, in that in the U-rich regime, higher temperatures lead to higher interstitial energies, while in the Mo-rich regime higher temperatures lead to lower interstitial energies. This transition occurs at approximately 30 atomic percent or 15 weight percent Mo. For vacancies, the trend of defect energy with temperature is consistent across the compositional spectrum, in that higher temperatures lead to higher defect energies. The sensitivity of this temperature dependence varies with composition, with the most temperature-sensitive compositions in the U-rich regime. The application of pressure does affect the temperature dependence of defect formation energies, nor does the temperature affect the trends of applied pressure on defect formation energies. However, it does appear that at lower temperatures, the effects of pressure on interstitial formation energy are slightly dampened. Averaging over the entire compositional regime, an applied pressure of 10(-10) kbar at 1200 K produces a 11(</w:t>
      </w:r>
      <w:proofErr w:type="gramStart"/>
      <w:r>
        <w:t>9)%</w:t>
      </w:r>
      <w:proofErr w:type="gramEnd"/>
      <w:r>
        <w:t xml:space="preserve"> increase(decrease) in the formation energy. At 600 K, </w:t>
      </w:r>
      <w:r>
        <w:t xml:space="preserve">an applied pressure of 10(-10) kbar produces a </w:t>
      </w:r>
      <w:r>
        <w:t>6</w:t>
      </w:r>
      <w:r>
        <w:t>(</w:t>
      </w:r>
      <w:proofErr w:type="gramStart"/>
      <w:r>
        <w:t>7</w:t>
      </w:r>
      <w:r>
        <w:t>)%</w:t>
      </w:r>
      <w:proofErr w:type="gramEnd"/>
      <w:r>
        <w:t xml:space="preserve"> increase(decrease) in the formation energy</w:t>
      </w:r>
      <w:r>
        <w:t xml:space="preserve">. </w:t>
      </w:r>
    </w:p>
    <w:p w14:paraId="62CF1935" w14:textId="77777777" w:rsidR="0090360B" w:rsidRDefault="0090360B" w:rsidP="00734E38">
      <w:pPr>
        <w:keepNext/>
        <w:jc w:val="center"/>
      </w:pPr>
    </w:p>
    <w:p w14:paraId="71547CD1" w14:textId="0411D266" w:rsidR="00734E38" w:rsidRDefault="00734E38" w:rsidP="00734E38">
      <w:pPr>
        <w:keepNext/>
        <w:jc w:val="center"/>
      </w:pPr>
      <w:r>
        <w:rPr>
          <w:noProof/>
        </w:rPr>
        <w:drawing>
          <wp:inline distT="0" distB="0" distL="0" distR="0" wp14:anchorId="6B1BEDC9" wp14:editId="5156C6D7">
            <wp:extent cx="2560320" cy="204967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320" cy="2049674"/>
                    </a:xfrm>
                    <a:prstGeom prst="rect">
                      <a:avLst/>
                    </a:prstGeom>
                  </pic:spPr>
                </pic:pic>
              </a:graphicData>
            </a:graphic>
          </wp:inline>
        </w:drawing>
      </w:r>
      <w:r>
        <w:rPr>
          <w:noProof/>
        </w:rPr>
        <w:drawing>
          <wp:inline distT="0" distB="0" distL="0" distR="0" wp14:anchorId="0A55474D" wp14:editId="13AFD7C4">
            <wp:extent cx="2560320" cy="2048256"/>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320" cy="2048256"/>
                    </a:xfrm>
                    <a:prstGeom prst="rect">
                      <a:avLst/>
                    </a:prstGeom>
                  </pic:spPr>
                </pic:pic>
              </a:graphicData>
            </a:graphic>
          </wp:inline>
        </w:drawing>
      </w:r>
    </w:p>
    <w:p w14:paraId="1C0F8262" w14:textId="53809854" w:rsidR="00734E38" w:rsidRDefault="00734E38" w:rsidP="00734E38">
      <w:pPr>
        <w:pStyle w:val="Caption"/>
        <w:jc w:val="center"/>
      </w:pPr>
      <w:bookmarkStart w:id="5" w:name="_Ref82442553"/>
      <w:r>
        <w:t xml:space="preserve">Figure </w:t>
      </w:r>
      <w:fldSimple w:instr=" SEQ Figure \* ARABIC ">
        <w:r w:rsidR="00D3522B">
          <w:rPr>
            <w:noProof/>
          </w:rPr>
          <w:t>4</w:t>
        </w:r>
      </w:fldSimple>
      <w:bookmarkEnd w:id="5"/>
      <w:r>
        <w:t xml:space="preserve">. Temperature and compositional dependence of interstitial and vacancy formation energies </w:t>
      </w:r>
      <w:r w:rsidR="0090360B">
        <w:t>in U-Mo.</w:t>
      </w:r>
    </w:p>
    <w:p w14:paraId="7E578B60" w14:textId="046A16B5" w:rsidR="00734E38" w:rsidRDefault="00EA597F" w:rsidP="00734E38">
      <w:r>
        <w:t xml:space="preserve">It is found that generally, vacancies are much less sensitive to pressure than interstitials, and that sensitively is not significantly affected by the temperature of interest. On average, </w:t>
      </w:r>
      <w:r>
        <w:t>an applied pressure of 10(-10) kbar</w:t>
      </w:r>
      <w:r>
        <w:t xml:space="preserve"> </w:t>
      </w:r>
      <w:r>
        <w:t xml:space="preserve">produces a </w:t>
      </w:r>
      <w:r>
        <w:t>3</w:t>
      </w:r>
      <w:r>
        <w:t xml:space="preserve">% increase(decrease) in the </w:t>
      </w:r>
      <w:r>
        <w:t xml:space="preserve">vacancy </w:t>
      </w:r>
      <w:r>
        <w:t>formation energy</w:t>
      </w:r>
      <w:r>
        <w:t xml:space="preserve">. Since the magnitude of the vacancy formation energy is larger than the magnitude of the interstitial formation energy, the absolute (not relative) change in the defect formation energy with applied pressure is approximately the same for both interstitials and vacancies. Under reasonable applied bulk pressures below the yield point (&lt;100 MPa), negligible deviations in the defect formations are observed. However, in circumstances where the pressures may be quite large, e.g., in the area surrounding a highly pressurized nanometer-sized bubble, statistically significant changes in the local defect </w:t>
      </w:r>
      <w:r>
        <w:lastRenderedPageBreak/>
        <w:t>formation energy could be observed, potentially altering fission gas bubble evolution and creep behaviors.</w:t>
      </w:r>
    </w:p>
    <w:p w14:paraId="5BBDE009" w14:textId="32477D20" w:rsidR="00EA597F" w:rsidRDefault="00EA597F" w:rsidP="00EA597F">
      <w:pPr>
        <w:pStyle w:val="Heading2"/>
      </w:pPr>
      <w:r>
        <w:t xml:space="preserve">3.1. Point Defect </w:t>
      </w:r>
      <w:r>
        <w:t>Diffusion</w:t>
      </w:r>
    </w:p>
    <w:p w14:paraId="7B9804CC" w14:textId="11FCED97" w:rsidR="00D3522B" w:rsidRDefault="00D3522B" w:rsidP="00D3522B"/>
    <w:p w14:paraId="2F33677D" w14:textId="435DE289" w:rsidR="00D3522B" w:rsidRPr="00D3522B" w:rsidRDefault="00D3522B" w:rsidP="00D3522B">
      <w:r>
        <w:t xml:space="preserve">The diffusion coefficient of interstitials and vacancies as a function of composition and temperature is shown in </w:t>
      </w:r>
      <w:fldSimple w:instr=" REF _Ref82448318 ">
        <w:r>
          <w:t xml:space="preserve">Figure </w:t>
        </w:r>
        <w:r>
          <w:rPr>
            <w:noProof/>
          </w:rPr>
          <w:t>5</w:t>
        </w:r>
      </w:fldSimple>
      <w:r>
        <w:t xml:space="preserve">. </w:t>
      </w:r>
    </w:p>
    <w:p w14:paraId="2974F846" w14:textId="66C4950D" w:rsidR="00EA597F" w:rsidRDefault="00EA597F" w:rsidP="00EA597F"/>
    <w:p w14:paraId="2B44CFFD" w14:textId="77777777" w:rsidR="00D3522B" w:rsidRDefault="00D3522B" w:rsidP="00D3522B">
      <w:pPr>
        <w:keepNext/>
        <w:jc w:val="center"/>
      </w:pPr>
      <w:r>
        <w:rPr>
          <w:noProof/>
        </w:rPr>
        <w:drawing>
          <wp:inline distT="0" distB="0" distL="0" distR="0" wp14:anchorId="2170D22B" wp14:editId="7608D10C">
            <wp:extent cx="2628900" cy="21031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2103120"/>
                    </a:xfrm>
                    <a:prstGeom prst="rect">
                      <a:avLst/>
                    </a:prstGeom>
                  </pic:spPr>
                </pic:pic>
              </a:graphicData>
            </a:graphic>
          </wp:inline>
        </w:drawing>
      </w:r>
      <w:r>
        <w:rPr>
          <w:noProof/>
        </w:rPr>
        <w:drawing>
          <wp:inline distT="0" distB="0" distL="0" distR="0" wp14:anchorId="70D42A28" wp14:editId="59D51972">
            <wp:extent cx="2743200" cy="21945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194560"/>
                    </a:xfrm>
                    <a:prstGeom prst="rect">
                      <a:avLst/>
                    </a:prstGeom>
                  </pic:spPr>
                </pic:pic>
              </a:graphicData>
            </a:graphic>
          </wp:inline>
        </w:drawing>
      </w:r>
    </w:p>
    <w:p w14:paraId="1E96F834" w14:textId="486AEC42" w:rsidR="006923EB" w:rsidRDefault="00D3522B" w:rsidP="00D3522B">
      <w:pPr>
        <w:pStyle w:val="Caption"/>
        <w:jc w:val="center"/>
      </w:pPr>
      <w:bookmarkStart w:id="6" w:name="_Ref82448318"/>
      <w:r>
        <w:t xml:space="preserve">Figure </w:t>
      </w:r>
      <w:fldSimple w:instr=" SEQ Figure \* ARABIC ">
        <w:r>
          <w:rPr>
            <w:noProof/>
          </w:rPr>
          <w:t>5</w:t>
        </w:r>
      </w:fldSimple>
      <w:bookmarkEnd w:id="6"/>
      <w:r>
        <w:t xml:space="preserve">. Diffusion coefficient of interstitials and vacancies as a function of temperature and composition. </w:t>
      </w:r>
    </w:p>
    <w:p w14:paraId="01371F6A" w14:textId="77777777" w:rsidR="006923EB" w:rsidRDefault="006923EB" w:rsidP="00EA597F"/>
    <w:p w14:paraId="1B59C4C1" w14:textId="1A0902FE" w:rsidR="006923EB" w:rsidRDefault="006923EB" w:rsidP="00EA597F">
      <w:r>
        <w:t xml:space="preserve">The diffusion coefficient for vacancies and interstitials as a function of pressure in U-10Mo at three temperatures is shown in </w:t>
      </w:r>
      <w:fldSimple w:instr=" REF _Ref82447551 ">
        <w:r>
          <w:t xml:space="preserve">Figure </w:t>
        </w:r>
        <w:r>
          <w:rPr>
            <w:noProof/>
          </w:rPr>
          <w:t>5</w:t>
        </w:r>
      </w:fldSimple>
      <w:r>
        <w:t xml:space="preserve">. There is minimal variation as a function of </w:t>
      </w:r>
    </w:p>
    <w:p w14:paraId="676035A9" w14:textId="6C33D2B9" w:rsidR="002E6034" w:rsidRDefault="002E6034" w:rsidP="002E6034">
      <w:pPr>
        <w:keepNext/>
        <w:jc w:val="center"/>
      </w:pPr>
    </w:p>
    <w:p w14:paraId="31050CC4" w14:textId="3DE79991" w:rsidR="00E15E96" w:rsidRDefault="002E6034" w:rsidP="002E6034">
      <w:pPr>
        <w:keepNext/>
        <w:jc w:val="center"/>
      </w:pPr>
      <w:r>
        <w:rPr>
          <w:noProof/>
        </w:rPr>
        <w:drawing>
          <wp:inline distT="0" distB="0" distL="0" distR="0" wp14:anchorId="4D3A1C3F" wp14:editId="625B2857">
            <wp:extent cx="2628900" cy="21031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2103120"/>
                    </a:xfrm>
                    <a:prstGeom prst="rect">
                      <a:avLst/>
                    </a:prstGeom>
                  </pic:spPr>
                </pic:pic>
              </a:graphicData>
            </a:graphic>
          </wp:inline>
        </w:drawing>
      </w:r>
      <w:r w:rsidR="00E15E96">
        <w:rPr>
          <w:noProof/>
        </w:rPr>
        <w:drawing>
          <wp:inline distT="0" distB="0" distL="0" distR="0" wp14:anchorId="62ECE787" wp14:editId="48674C51">
            <wp:extent cx="2628900" cy="21031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2103120"/>
                    </a:xfrm>
                    <a:prstGeom prst="rect">
                      <a:avLst/>
                    </a:prstGeom>
                  </pic:spPr>
                </pic:pic>
              </a:graphicData>
            </a:graphic>
          </wp:inline>
        </w:drawing>
      </w:r>
    </w:p>
    <w:p w14:paraId="33A66764" w14:textId="1458EF54" w:rsidR="002E6034" w:rsidRPr="00EA597F" w:rsidRDefault="002E6034" w:rsidP="002E6034">
      <w:pPr>
        <w:pStyle w:val="Caption"/>
        <w:jc w:val="center"/>
      </w:pPr>
      <w:bookmarkStart w:id="7" w:name="_Ref82447551"/>
      <w:r>
        <w:t xml:space="preserve">Figure </w:t>
      </w:r>
      <w:fldSimple w:instr=" SEQ Figure \* ARABIC ">
        <w:r w:rsidR="00D3522B">
          <w:rPr>
            <w:noProof/>
          </w:rPr>
          <w:t>6</w:t>
        </w:r>
      </w:fldSimple>
      <w:bookmarkEnd w:id="7"/>
      <w:r>
        <w:t>. Diffusion coefficient of vacancies and interstitials as a function of pressure for U-10 Mo</w:t>
      </w:r>
    </w:p>
    <w:p w14:paraId="74F5C22B" w14:textId="77777777" w:rsidR="00EA597F" w:rsidRDefault="00EA597F" w:rsidP="00734E38"/>
    <w:p w14:paraId="1EFDCF11" w14:textId="77777777" w:rsidR="00EA597F" w:rsidRPr="00734E38" w:rsidRDefault="00EA597F" w:rsidP="00734E38"/>
    <w:p w14:paraId="320E444C" w14:textId="61A4A43C" w:rsidR="00BD36F5" w:rsidRDefault="00FD6259" w:rsidP="00734E38">
      <w:pPr>
        <w:pStyle w:val="Heading1"/>
      </w:pPr>
      <w:r>
        <w:t>Conclusions</w:t>
      </w:r>
    </w:p>
    <w:p w14:paraId="1109FAE9" w14:textId="1F2F471B" w:rsidR="00734E38" w:rsidRDefault="00734E38">
      <w:pPr>
        <w:spacing w:after="172" w:line="259" w:lineRule="auto"/>
        <w:ind w:left="-5" w:right="0"/>
        <w:jc w:val="left"/>
      </w:pPr>
    </w:p>
    <w:p w14:paraId="685EF8DD" w14:textId="0F6D94C0" w:rsidR="00BD36F5" w:rsidRDefault="00FD6259">
      <w:pPr>
        <w:pStyle w:val="Heading1"/>
        <w:numPr>
          <w:ilvl w:val="0"/>
          <w:numId w:val="0"/>
        </w:numPr>
        <w:ind w:left="-5"/>
      </w:pPr>
      <w:r>
        <w:t>References</w:t>
      </w:r>
    </w:p>
    <w:p w14:paraId="02B66FAB" w14:textId="73F93A92" w:rsidR="00FB521A" w:rsidRPr="00FB521A" w:rsidRDefault="00195279" w:rsidP="00FB521A">
      <w:pPr>
        <w:widowControl w:val="0"/>
        <w:autoSpaceDE w:val="0"/>
        <w:autoSpaceDN w:val="0"/>
        <w:adjustRightInd w:val="0"/>
        <w:spacing w:after="120" w:line="240" w:lineRule="auto"/>
        <w:ind w:left="640" w:hanging="640"/>
        <w:rPr>
          <w:rFonts w:cs="Times New Roman"/>
          <w:noProof/>
        </w:rPr>
      </w:pPr>
      <w:r>
        <w:fldChar w:fldCharType="begin" w:fldLock="1"/>
      </w:r>
      <w:r>
        <w:instrText xml:space="preserve">ADDIN Mendeley Bibliography CSL_BIBLIOGRAPHY </w:instrText>
      </w:r>
      <w:r>
        <w:fldChar w:fldCharType="separate"/>
      </w:r>
      <w:r w:rsidR="00FB521A" w:rsidRPr="00FB521A">
        <w:rPr>
          <w:rFonts w:cs="Times New Roman"/>
          <w:noProof/>
        </w:rPr>
        <w:t>[1]</w:t>
      </w:r>
      <w:r w:rsidR="00FB521A" w:rsidRPr="00FB521A">
        <w:rPr>
          <w:rFonts w:cs="Times New Roman"/>
          <w:noProof/>
        </w:rPr>
        <w:tab/>
        <w:t>S. Plimpton, Fast Parallel Algorithms for Short-Range Molecular Dynamics, J. Comput. Phys. 117 (1995) 1–19. https://doi.org/10.1006/JCPH.1995.1039.</w:t>
      </w:r>
    </w:p>
    <w:p w14:paraId="2BE69A3D" w14:textId="3AE07B65" w:rsidR="00FB521A" w:rsidRPr="00FB521A" w:rsidRDefault="00FB521A" w:rsidP="00FB521A">
      <w:pPr>
        <w:widowControl w:val="0"/>
        <w:autoSpaceDE w:val="0"/>
        <w:autoSpaceDN w:val="0"/>
        <w:adjustRightInd w:val="0"/>
        <w:spacing w:after="120" w:line="240" w:lineRule="auto"/>
        <w:ind w:left="640" w:hanging="640"/>
        <w:rPr>
          <w:rFonts w:cs="Times New Roman"/>
          <w:noProof/>
        </w:rPr>
      </w:pPr>
      <w:r w:rsidRPr="00FB521A">
        <w:rPr>
          <w:rFonts w:cs="Times New Roman"/>
          <w:noProof/>
        </w:rPr>
        <w:t>[2]</w:t>
      </w:r>
      <w:r w:rsidRPr="00FB521A">
        <w:rPr>
          <w:rFonts w:cs="Times New Roman"/>
          <w:noProof/>
        </w:rPr>
        <w:tab/>
        <w:t>S. V. Starikov, L.N. Kolotova, A.Y. Kuksin, D.E. Smirnova, V.I. Tseplyaev, Atomistic simulation of cubic and tetragonal phases of U-Mo alloy: Structure and thermodynamic properties, J. Nucl. Mater. 499 (2018) 451–463. https://doi.org/10.1016/J.JNUCMAT.2017.11.047.</w:t>
      </w:r>
    </w:p>
    <w:p w14:paraId="48B7D997" w14:textId="77777777" w:rsidR="00FB521A" w:rsidRPr="00FB521A" w:rsidRDefault="00FB521A" w:rsidP="00FB521A">
      <w:pPr>
        <w:widowControl w:val="0"/>
        <w:autoSpaceDE w:val="0"/>
        <w:autoSpaceDN w:val="0"/>
        <w:adjustRightInd w:val="0"/>
        <w:spacing w:after="120" w:line="240" w:lineRule="auto"/>
        <w:ind w:left="640" w:hanging="640"/>
        <w:rPr>
          <w:noProof/>
        </w:rPr>
      </w:pPr>
      <w:r w:rsidRPr="00FB521A">
        <w:rPr>
          <w:rFonts w:cs="Times New Roman"/>
          <w:noProof/>
        </w:rPr>
        <w:t>[3]</w:t>
      </w:r>
      <w:r w:rsidRPr="00FB521A">
        <w:rPr>
          <w:rFonts w:cs="Times New Roman"/>
          <w:noProof/>
        </w:rPr>
        <w:tab/>
        <w:t>G. Park, B. Beeler, M.A. Okuniewski, An atomistic study of defect energetics and diffusion with respect to composition and temperature in γU and γU-Mo alloys, J. Nucl. Mater. 552 (2021) 152970. https://doi.org/10.1016/J.JNUCMAT.2021.152970.</w:t>
      </w:r>
    </w:p>
    <w:p w14:paraId="1BE211EF" w14:textId="50235A55" w:rsidR="00195279" w:rsidRPr="00195279" w:rsidRDefault="00195279" w:rsidP="00FB521A">
      <w:pPr>
        <w:widowControl w:val="0"/>
        <w:autoSpaceDE w:val="0"/>
        <w:autoSpaceDN w:val="0"/>
        <w:adjustRightInd w:val="0"/>
        <w:spacing w:after="120" w:line="240" w:lineRule="auto"/>
        <w:ind w:left="640" w:hanging="640"/>
      </w:pPr>
      <w:r>
        <w:fldChar w:fldCharType="end"/>
      </w:r>
    </w:p>
    <w:p w14:paraId="38F5CEEC" w14:textId="77777777" w:rsidR="00BD36F5" w:rsidRDefault="00FD6259">
      <w:pPr>
        <w:spacing w:after="250" w:line="259" w:lineRule="auto"/>
        <w:ind w:right="0"/>
        <w:jc w:val="center"/>
      </w:pPr>
      <w:r>
        <w:t>2</w:t>
      </w:r>
    </w:p>
    <w:sectPr w:rsidR="00BD36F5">
      <w:pgSz w:w="12240" w:h="15840"/>
      <w:pgMar w:top="1921" w:right="1836" w:bottom="2211" w:left="18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D7C"/>
    <w:multiLevelType w:val="hybridMultilevel"/>
    <w:tmpl w:val="5F8CE3CC"/>
    <w:lvl w:ilvl="0" w:tplc="AB0421D4">
      <w:start w:val="1"/>
      <w:numFmt w:val="decimal"/>
      <w:lvlText w:val="[%1]"/>
      <w:lvlJc w:val="left"/>
      <w:pPr>
        <w:ind w:left="3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7681234">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4F0C04A">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B104E96">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0788BF2">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D307D3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D621BD2">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0CC05A6">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FF22FC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F877746"/>
    <w:multiLevelType w:val="hybridMultilevel"/>
    <w:tmpl w:val="1DAA4962"/>
    <w:lvl w:ilvl="0" w:tplc="9842A712">
      <w:start w:val="1"/>
      <w:numFmt w:val="decimal"/>
      <w:pStyle w:val="Heading1"/>
      <w:lvlText w:val="%1."/>
      <w:lvlJc w:val="left"/>
      <w:pPr>
        <w:ind w:left="5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E3F846A4">
      <w:start w:val="1"/>
      <w:numFmt w:val="lowerLetter"/>
      <w:lvlText w:val="%2"/>
      <w:lvlJc w:val="left"/>
      <w:pPr>
        <w:ind w:left="113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74D0F230">
      <w:start w:val="1"/>
      <w:numFmt w:val="lowerRoman"/>
      <w:lvlText w:val="%3"/>
      <w:lvlJc w:val="left"/>
      <w:pPr>
        <w:ind w:left="185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B20E5A48">
      <w:start w:val="1"/>
      <w:numFmt w:val="decimal"/>
      <w:lvlText w:val="%4"/>
      <w:lvlJc w:val="left"/>
      <w:pPr>
        <w:ind w:left="257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10D41CDE">
      <w:start w:val="1"/>
      <w:numFmt w:val="lowerLetter"/>
      <w:lvlText w:val="%5"/>
      <w:lvlJc w:val="left"/>
      <w:pPr>
        <w:ind w:left="329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CB3AF122">
      <w:start w:val="1"/>
      <w:numFmt w:val="lowerRoman"/>
      <w:lvlText w:val="%6"/>
      <w:lvlJc w:val="left"/>
      <w:pPr>
        <w:ind w:left="401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6BA06ADC">
      <w:start w:val="1"/>
      <w:numFmt w:val="decimal"/>
      <w:lvlText w:val="%7"/>
      <w:lvlJc w:val="left"/>
      <w:pPr>
        <w:ind w:left="473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1C1CB946">
      <w:start w:val="1"/>
      <w:numFmt w:val="lowerLetter"/>
      <w:lvlText w:val="%8"/>
      <w:lvlJc w:val="left"/>
      <w:pPr>
        <w:ind w:left="545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22DC9A32">
      <w:start w:val="1"/>
      <w:numFmt w:val="lowerRoman"/>
      <w:lvlText w:val="%9"/>
      <w:lvlJc w:val="left"/>
      <w:pPr>
        <w:ind w:left="617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6F5"/>
    <w:rsid w:val="000D7280"/>
    <w:rsid w:val="00195279"/>
    <w:rsid w:val="002E0198"/>
    <w:rsid w:val="002E6034"/>
    <w:rsid w:val="006923EB"/>
    <w:rsid w:val="00706FA1"/>
    <w:rsid w:val="00734E38"/>
    <w:rsid w:val="007B6E56"/>
    <w:rsid w:val="008E7E54"/>
    <w:rsid w:val="0090360B"/>
    <w:rsid w:val="009832D6"/>
    <w:rsid w:val="00AD043B"/>
    <w:rsid w:val="00AF24F5"/>
    <w:rsid w:val="00B01642"/>
    <w:rsid w:val="00BD36F5"/>
    <w:rsid w:val="00BE57B1"/>
    <w:rsid w:val="00D24ADE"/>
    <w:rsid w:val="00D3522B"/>
    <w:rsid w:val="00DB7525"/>
    <w:rsid w:val="00E15E96"/>
    <w:rsid w:val="00EA597F"/>
    <w:rsid w:val="00FB521A"/>
    <w:rsid w:val="00FD6259"/>
    <w:rsid w:val="00FF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2454"/>
  <w15:docId w15:val="{0D127DD9-0551-CE44-AF90-0C21AA45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9" w:line="262" w:lineRule="auto"/>
      <w:ind w:left="10" w:righ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2"/>
      </w:numPr>
      <w:spacing w:after="172" w:line="259" w:lineRule="auto"/>
      <w:ind w:left="10" w:hanging="10"/>
      <w:outlineLvl w:val="0"/>
    </w:pPr>
    <w:rPr>
      <w:rFonts w:ascii="Cambria" w:eastAsia="Cambria" w:hAnsi="Cambria" w:cs="Cambria"/>
      <w:b/>
      <w:color w:val="000000"/>
      <w:sz w:val="22"/>
    </w:rPr>
  </w:style>
  <w:style w:type="paragraph" w:styleId="Heading2">
    <w:name w:val="heading 2"/>
    <w:basedOn w:val="Normal"/>
    <w:next w:val="Normal"/>
    <w:link w:val="Heading2Char"/>
    <w:uiPriority w:val="9"/>
    <w:unhideWhenUsed/>
    <w:qFormat/>
    <w:rsid w:val="00EA5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character" w:styleId="PlaceholderText">
    <w:name w:val="Placeholder Text"/>
    <w:basedOn w:val="DefaultParagraphFont"/>
    <w:uiPriority w:val="99"/>
    <w:semiHidden/>
    <w:rsid w:val="00BE57B1"/>
    <w:rPr>
      <w:color w:val="808080"/>
    </w:rPr>
  </w:style>
  <w:style w:type="paragraph" w:styleId="Caption">
    <w:name w:val="caption"/>
    <w:basedOn w:val="Normal"/>
    <w:next w:val="Normal"/>
    <w:uiPriority w:val="35"/>
    <w:unhideWhenUsed/>
    <w:qFormat/>
    <w:rsid w:val="00D24AD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A59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A3F5D-A285-B846-8753-52C165911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2979</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cp:lastModifiedBy>Benjamin Beeler</cp:lastModifiedBy>
  <cp:revision>11</cp:revision>
  <dcterms:created xsi:type="dcterms:W3CDTF">2021-08-27T17:41:00Z</dcterms:created>
  <dcterms:modified xsi:type="dcterms:W3CDTF">2021-09-13T21:58:00Z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http://www.zotero.org/styles/elsevier-with-titles</vt:lpwstr>
  </property>
  <property fmtid="{D5CDD505-2E9C-101B-9397-08002B2CF9AE}" pid="13" name="Mendeley Recent Style Name 5_1">
    <vt:lpwstr>Elsevier (numeric,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5123e54d-ed4c-37c5-8ef2-60174671389c</vt:lpwstr>
  </property>
  <property fmtid="{D5CDD505-2E9C-101B-9397-08002B2CF9AE}" pid="24" name="Mendeley Citation Style_1">
    <vt:lpwstr>http://www.zotero.org/styles/elsevier-with-titles</vt:lpwstr>
  </property>
</Properties>
</file>