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5EEDC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Corresponding Author</w:t>
      </w:r>
    </w:p>
    <w:p w14:paraId="27194D4F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10B78BF2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Benjamin Beeler</w:t>
      </w:r>
    </w:p>
    <w:p w14:paraId="6C8077E3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North Carolina State University</w:t>
      </w:r>
    </w:p>
    <w:p w14:paraId="1784296B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2500 Stinson Dr, Raleigh, NC 27607</w:t>
      </w:r>
    </w:p>
    <w:p w14:paraId="44359B5A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919.515.3737</w:t>
      </w:r>
    </w:p>
    <w:p w14:paraId="5795AF59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bwbeeler@ncsu.edu</w:t>
      </w:r>
    </w:p>
    <w:p w14:paraId="2474D980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31C8DA1E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Dear Editorial Board,</w:t>
      </w:r>
    </w:p>
    <w:p w14:paraId="016489D8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Journal of Nuclear Materials</w:t>
      </w:r>
    </w:p>
    <w:p w14:paraId="0908C7E3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30E90D95" w14:textId="5B4AE610" w:rsidR="00A65FCB" w:rsidRPr="00A65FCB" w:rsidRDefault="00A65FCB" w:rsidP="00BC6A8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On behalf of my co-author</w:t>
      </w:r>
      <w:r>
        <w:rPr>
          <w:rFonts w:ascii="Times New Roman" w:hAnsi="Times New Roman" w:cs="Times New Roman"/>
          <w:color w:val="000000"/>
          <w:kern w:val="0"/>
        </w:rPr>
        <w:t>s</w:t>
      </w:r>
      <w:r w:rsidRPr="00A65FCB">
        <w:rPr>
          <w:rFonts w:ascii="Times New Roman" w:hAnsi="Times New Roman" w:cs="Times New Roman"/>
          <w:color w:val="000000"/>
          <w:kern w:val="0"/>
        </w:rPr>
        <w:t xml:space="preserve"> and myself, I am hereby re-submitting our manuscript, entitled “Assessment of uranium nitride interatomic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A65FCB">
        <w:rPr>
          <w:rFonts w:ascii="Times New Roman" w:hAnsi="Times New Roman" w:cs="Times New Roman"/>
          <w:color w:val="000000"/>
          <w:kern w:val="0"/>
        </w:rPr>
        <w:t>potentials”, for publication in the Journal of Nuclear Materials.</w:t>
      </w:r>
    </w:p>
    <w:p w14:paraId="77BAE25B" w14:textId="77777777" w:rsidR="00A65FCB" w:rsidRDefault="00A65FCB" w:rsidP="00BC6A8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kern w:val="0"/>
        </w:rPr>
      </w:pPr>
    </w:p>
    <w:p w14:paraId="49D6AC9C" w14:textId="7E502246" w:rsidR="00A65FCB" w:rsidRDefault="00A65FCB" w:rsidP="00BC6A8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 xml:space="preserve">This work </w:t>
      </w:r>
      <w:r>
        <w:rPr>
          <w:rFonts w:ascii="Times New Roman" w:hAnsi="Times New Roman" w:cs="Times New Roman"/>
          <w:color w:val="000000"/>
          <w:kern w:val="0"/>
        </w:rPr>
        <w:t>evaluated</w:t>
      </w:r>
      <w:r w:rsidRPr="00A65FCB">
        <w:rPr>
          <w:rFonts w:ascii="Times New Roman" w:hAnsi="Times New Roman" w:cs="Times New Roman"/>
          <w:color w:val="000000"/>
          <w:kern w:val="0"/>
        </w:rPr>
        <w:t xml:space="preserve"> two UN interatomic potentials: </w:t>
      </w:r>
      <w:proofErr w:type="spellStart"/>
      <w:r w:rsidRPr="00A65FCB">
        <w:rPr>
          <w:rFonts w:ascii="Times New Roman" w:hAnsi="Times New Roman" w:cs="Times New Roman"/>
          <w:color w:val="000000"/>
          <w:kern w:val="0"/>
        </w:rPr>
        <w:t>Tseplyaev</w:t>
      </w:r>
      <w:proofErr w:type="spellEnd"/>
      <w:r w:rsidRPr="00A65FCB">
        <w:rPr>
          <w:rFonts w:ascii="Times New Roman" w:hAnsi="Times New Roman" w:cs="Times New Roman"/>
          <w:color w:val="000000"/>
          <w:kern w:val="0"/>
        </w:rPr>
        <w:t xml:space="preserve"> and </w:t>
      </w:r>
      <w:proofErr w:type="spellStart"/>
      <w:r w:rsidRPr="00A65FCB">
        <w:rPr>
          <w:rFonts w:ascii="Times New Roman" w:hAnsi="Times New Roman" w:cs="Times New Roman"/>
          <w:color w:val="000000"/>
          <w:kern w:val="0"/>
        </w:rPr>
        <w:t>Starikov’s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A65FCB">
        <w:rPr>
          <w:rFonts w:ascii="Times New Roman" w:hAnsi="Times New Roman" w:cs="Times New Roman"/>
          <w:color w:val="000000"/>
          <w:kern w:val="0"/>
        </w:rPr>
        <w:t xml:space="preserve">ADP and </w:t>
      </w:r>
      <w:proofErr w:type="spellStart"/>
      <w:r w:rsidRPr="00A65FCB">
        <w:rPr>
          <w:rFonts w:ascii="Times New Roman" w:hAnsi="Times New Roman" w:cs="Times New Roman"/>
          <w:color w:val="000000"/>
          <w:kern w:val="0"/>
        </w:rPr>
        <w:t>Kocevski</w:t>
      </w:r>
      <w:proofErr w:type="spellEnd"/>
      <w:r w:rsidRPr="00A65FCB">
        <w:rPr>
          <w:rFonts w:ascii="Times New Roman" w:hAnsi="Times New Roman" w:cs="Times New Roman"/>
          <w:color w:val="000000"/>
          <w:kern w:val="0"/>
        </w:rPr>
        <w:t xml:space="preserve"> et</w:t>
      </w:r>
      <w:proofErr w:type="spellStart"/>
      <w:r w:rsidRPr="00A65FCB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End"/>
      <w:r w:rsidRPr="00A65FCB">
        <w:rPr>
          <w:rFonts w:ascii="Times New Roman" w:hAnsi="Times New Roman" w:cs="Times New Roman"/>
          <w:color w:val="000000"/>
          <w:kern w:val="0"/>
        </w:rPr>
        <w:t xml:space="preserve">al.’s EAM potential. The study involved assessing the predictive capabilities of these potentials for various thermophysical and elastic properties of UN, UN2, and </w:t>
      </w:r>
      <w:r>
        <w:rPr>
          <w:rFonts w:ascii="Times New Roman" w:hAnsi="Times New Roman" w:cs="Times New Roman"/>
          <w:color w:val="000000"/>
          <w:kern w:val="0"/>
        </w:rPr>
        <w:t>alpha</w:t>
      </w:r>
      <w:r w:rsidRPr="00A65FCB">
        <w:rPr>
          <w:rFonts w:ascii="Times New Roman" w:hAnsi="Times New Roman" w:cs="Times New Roman"/>
          <w:color w:val="000000"/>
          <w:kern w:val="0"/>
        </w:rPr>
        <w:t xml:space="preserve">- and </w:t>
      </w:r>
      <w:r>
        <w:rPr>
          <w:rFonts w:ascii="Times New Roman" w:hAnsi="Times New Roman" w:cs="Times New Roman"/>
          <w:color w:val="000000"/>
          <w:kern w:val="0"/>
        </w:rPr>
        <w:t>beta</w:t>
      </w:r>
      <w:r w:rsidRPr="00A65FCB">
        <w:rPr>
          <w:rFonts w:ascii="Times New Roman" w:hAnsi="Times New Roman" w:cs="Times New Roman"/>
          <w:color w:val="000000"/>
          <w:kern w:val="0"/>
        </w:rPr>
        <w:t xml:space="preserve">-U2N3. </w:t>
      </w:r>
      <w:r>
        <w:rPr>
          <w:rFonts w:ascii="Times New Roman" w:hAnsi="Times New Roman" w:cs="Times New Roman"/>
          <w:color w:val="000000"/>
          <w:kern w:val="0"/>
        </w:rPr>
        <w:t>T</w:t>
      </w:r>
      <w:r w:rsidRPr="00A65FCB">
        <w:rPr>
          <w:rFonts w:ascii="Times New Roman" w:hAnsi="Times New Roman" w:cs="Times New Roman"/>
          <w:color w:val="000000"/>
          <w:kern w:val="0"/>
        </w:rPr>
        <w:t xml:space="preserve">he </w:t>
      </w:r>
      <w:proofErr w:type="spellStart"/>
      <w:r w:rsidRPr="00A65FCB">
        <w:rPr>
          <w:rFonts w:ascii="Times New Roman" w:hAnsi="Times New Roman" w:cs="Times New Roman"/>
          <w:color w:val="000000"/>
          <w:kern w:val="0"/>
        </w:rPr>
        <w:t>Tseplyaev</w:t>
      </w:r>
      <w:proofErr w:type="spellEnd"/>
      <w:r w:rsidRPr="00A65FCB">
        <w:rPr>
          <w:rFonts w:ascii="Times New Roman" w:hAnsi="Times New Roman" w:cs="Times New Roman"/>
          <w:color w:val="000000"/>
          <w:kern w:val="0"/>
        </w:rPr>
        <w:t xml:space="preserve"> potential excels in capturing the energetic aspects of UN, whereas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A65FCB">
        <w:rPr>
          <w:rFonts w:ascii="Times New Roman" w:hAnsi="Times New Roman" w:cs="Times New Roman"/>
          <w:color w:val="000000"/>
          <w:kern w:val="0"/>
        </w:rPr>
        <w:t xml:space="preserve">the </w:t>
      </w:r>
      <w:proofErr w:type="spellStart"/>
      <w:r w:rsidRPr="00A65FCB">
        <w:rPr>
          <w:rFonts w:ascii="Times New Roman" w:hAnsi="Times New Roman" w:cs="Times New Roman"/>
          <w:color w:val="000000"/>
          <w:kern w:val="0"/>
        </w:rPr>
        <w:t>Kocevski</w:t>
      </w:r>
      <w:proofErr w:type="spellEnd"/>
      <w:r w:rsidRPr="00A65FCB">
        <w:rPr>
          <w:rFonts w:ascii="Times New Roman" w:hAnsi="Times New Roman" w:cs="Times New Roman"/>
          <w:color w:val="000000"/>
          <w:kern w:val="0"/>
        </w:rPr>
        <w:t xml:space="preserve"> potential performs better in modeling the UN’s structural properties. Regarding the crystal structure stability of phases, the </w:t>
      </w:r>
      <w:proofErr w:type="spellStart"/>
      <w:r w:rsidRPr="00A65FCB">
        <w:rPr>
          <w:rFonts w:ascii="Times New Roman" w:hAnsi="Times New Roman" w:cs="Times New Roman"/>
          <w:color w:val="000000"/>
          <w:kern w:val="0"/>
        </w:rPr>
        <w:t>Kocevski</w:t>
      </w:r>
      <w:proofErr w:type="spellEnd"/>
      <w:r w:rsidRPr="00A65FCB">
        <w:rPr>
          <w:rFonts w:ascii="Times New Roman" w:hAnsi="Times New Roman" w:cs="Times New Roman"/>
          <w:color w:val="000000"/>
          <w:kern w:val="0"/>
        </w:rPr>
        <w:t xml:space="preserve"> potential demonstrates superior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A65FCB">
        <w:rPr>
          <w:rFonts w:ascii="Times New Roman" w:hAnsi="Times New Roman" w:cs="Times New Roman"/>
          <w:color w:val="000000"/>
          <w:kern w:val="0"/>
        </w:rPr>
        <w:t>predictive capabilities</w:t>
      </w:r>
      <w:r>
        <w:rPr>
          <w:rFonts w:ascii="Times New Roman" w:hAnsi="Times New Roman" w:cs="Times New Roman"/>
          <w:color w:val="000000"/>
          <w:kern w:val="0"/>
        </w:rPr>
        <w:t>. A</w:t>
      </w:r>
      <w:r w:rsidRPr="00A65FCB">
        <w:rPr>
          <w:rFonts w:ascii="Times New Roman" w:hAnsi="Times New Roman" w:cs="Times New Roman"/>
          <w:color w:val="000000"/>
          <w:kern w:val="0"/>
        </w:rPr>
        <w:t>n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A65FCB">
        <w:rPr>
          <w:rFonts w:ascii="Times New Roman" w:hAnsi="Times New Roman" w:cs="Times New Roman"/>
          <w:color w:val="000000"/>
          <w:kern w:val="0"/>
        </w:rPr>
        <w:t xml:space="preserve">important limitation of the </w:t>
      </w:r>
      <w:proofErr w:type="spellStart"/>
      <w:r w:rsidRPr="00A65FCB">
        <w:rPr>
          <w:rFonts w:ascii="Times New Roman" w:hAnsi="Times New Roman" w:cs="Times New Roman"/>
          <w:color w:val="000000"/>
          <w:kern w:val="0"/>
        </w:rPr>
        <w:t>Kocevski</w:t>
      </w:r>
      <w:proofErr w:type="spellEnd"/>
      <w:r w:rsidRPr="00A65FCB">
        <w:rPr>
          <w:rFonts w:ascii="Times New Roman" w:hAnsi="Times New Roman" w:cs="Times New Roman"/>
          <w:color w:val="000000"/>
          <w:kern w:val="0"/>
        </w:rPr>
        <w:t xml:space="preserve"> potential is its inability to predict a stable metallic U phase, making it unsuitable for studies related to UN non-stoichiometry.</w:t>
      </w:r>
      <w:r w:rsidR="00916816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2531B173" w14:textId="77777777" w:rsidR="00A65FCB" w:rsidRPr="00A65FCB" w:rsidRDefault="00A65FCB" w:rsidP="00BC6A8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kern w:val="0"/>
        </w:rPr>
      </w:pPr>
    </w:p>
    <w:p w14:paraId="24DC89C8" w14:textId="77777777" w:rsidR="00A65FCB" w:rsidRPr="00A65FCB" w:rsidRDefault="00A65FCB" w:rsidP="00BC6A8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 xml:space="preserve">We believe that we have addressed all of the reviewer comments, and extended their comments further to improve the manuscript. </w:t>
      </w:r>
    </w:p>
    <w:p w14:paraId="3B9E88D0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4BF359A8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Sincerely,</w:t>
      </w:r>
    </w:p>
    <w:p w14:paraId="51C36C21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28CC59B3" w14:textId="51180F9E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Benjamin Beeler</w:t>
      </w:r>
    </w:p>
    <w:p w14:paraId="27A2C634" w14:textId="77777777" w:rsidR="00A65FCB" w:rsidRDefault="00A65FCB" w:rsidP="00A65FCB">
      <w:pPr>
        <w:autoSpaceDE w:val="0"/>
        <w:autoSpaceDN w:val="0"/>
        <w:adjustRightInd w:val="0"/>
        <w:spacing w:line="240" w:lineRule="auto"/>
        <w:rPr>
          <w:rFonts w:ascii="`Â ™ò" w:hAnsi="`Â ™ò" w:cs="`Â ™ò"/>
          <w:color w:val="000000"/>
          <w:kern w:val="0"/>
          <w:sz w:val="22"/>
          <w:szCs w:val="22"/>
        </w:rPr>
      </w:pPr>
    </w:p>
    <w:p w14:paraId="0518F756" w14:textId="77777777" w:rsidR="00A65FCB" w:rsidRDefault="00A65FCB" w:rsidP="00A65FCB">
      <w:pPr>
        <w:autoSpaceDE w:val="0"/>
        <w:autoSpaceDN w:val="0"/>
        <w:adjustRightInd w:val="0"/>
        <w:spacing w:line="240" w:lineRule="auto"/>
        <w:rPr>
          <w:rFonts w:ascii="`Â ™ò" w:hAnsi="`Â ™ò" w:cs="`Â ™ò"/>
          <w:color w:val="000000"/>
          <w:kern w:val="0"/>
          <w:sz w:val="22"/>
          <w:szCs w:val="22"/>
        </w:rPr>
      </w:pPr>
    </w:p>
    <w:p w14:paraId="69B938ED" w14:textId="611CB2D5" w:rsidR="00425576" w:rsidRDefault="00425576" w:rsidP="00A65FCB"/>
    <w:sectPr w:rsidR="00425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`Â ™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CB"/>
    <w:rsid w:val="00273C93"/>
    <w:rsid w:val="002D2075"/>
    <w:rsid w:val="00425576"/>
    <w:rsid w:val="00701A5B"/>
    <w:rsid w:val="00916816"/>
    <w:rsid w:val="0093521C"/>
    <w:rsid w:val="00995C5A"/>
    <w:rsid w:val="009C247A"/>
    <w:rsid w:val="00A65FCB"/>
    <w:rsid w:val="00B13408"/>
    <w:rsid w:val="00BC6A83"/>
    <w:rsid w:val="00EC2EF9"/>
    <w:rsid w:val="00F805AF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3E446"/>
  <w15:chartTrackingRefBased/>
  <w15:docId w15:val="{48F5DE67-7C1C-EE4B-9674-37A7624F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F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F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F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F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2D2075"/>
    <w:pPr>
      <w:spacing w:before="120" w:after="120" w:line="240" w:lineRule="auto"/>
      <w:ind w:firstLine="360"/>
      <w:jc w:val="center"/>
    </w:pPr>
    <w:rPr>
      <w:rFonts w:ascii="Times New Roman" w:eastAsia="Times New Roman" w:hAnsi="Times New Roman" w:cs="Times New Roman"/>
      <w:bCs/>
      <w:color w:val="000000" w:themeColor="text1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65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F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F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Beeler</cp:lastModifiedBy>
  <cp:revision>3</cp:revision>
  <dcterms:created xsi:type="dcterms:W3CDTF">2024-05-16T16:44:00Z</dcterms:created>
  <dcterms:modified xsi:type="dcterms:W3CDTF">2024-05-16T16:50:00Z</dcterms:modified>
</cp:coreProperties>
</file>