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46955" w14:textId="77777777" w:rsidR="00EE7995" w:rsidRDefault="00871812">
      <w:pPr>
        <w:spacing w:after="168" w:line="259" w:lineRule="auto"/>
        <w:ind w:left="19" w:right="19" w:firstLine="0"/>
        <w:jc w:val="center"/>
      </w:pPr>
      <w:r>
        <w:rPr>
          <w:sz w:val="34"/>
        </w:rPr>
        <w:t xml:space="preserve">An integrated fission gas swelling correlation for </w:t>
      </w:r>
      <w:proofErr w:type="spellStart"/>
      <w:r>
        <w:rPr>
          <w:sz w:val="34"/>
        </w:rPr>
        <w:t>UMo</w:t>
      </w:r>
      <w:proofErr w:type="spellEnd"/>
      <w:r>
        <w:rPr>
          <w:sz w:val="34"/>
        </w:rPr>
        <w:t xml:space="preserve"> research reactor fuel</w:t>
      </w:r>
    </w:p>
    <w:p w14:paraId="52A99B59" w14:textId="77777777" w:rsidR="00EE7995" w:rsidRDefault="00871812">
      <w:pPr>
        <w:spacing w:after="491" w:line="259" w:lineRule="auto"/>
        <w:ind w:firstLine="0"/>
        <w:jc w:val="center"/>
      </w:pPr>
      <w:r>
        <w:rPr>
          <w:sz w:val="24"/>
        </w:rPr>
        <w:t xml:space="preserve">Benjamin Beeler, Bei Ye, Jahid Hasan, </w:t>
      </w:r>
      <w:proofErr w:type="spellStart"/>
      <w:r>
        <w:rPr>
          <w:sz w:val="24"/>
        </w:rPr>
        <w:t>Zhi</w:t>
      </w:r>
      <w:proofErr w:type="spellEnd"/>
      <w:r>
        <w:rPr>
          <w:sz w:val="24"/>
        </w:rPr>
        <w:t xml:space="preserve">-Gang Mei, </w:t>
      </w:r>
      <w:proofErr w:type="spellStart"/>
      <w:r>
        <w:rPr>
          <w:sz w:val="24"/>
        </w:rPr>
        <w:t>Hakan</w:t>
      </w:r>
      <w:proofErr w:type="spellEnd"/>
      <w:r>
        <w:rPr>
          <w:sz w:val="24"/>
        </w:rPr>
        <w:t xml:space="preserve"> </w:t>
      </w:r>
      <w:proofErr w:type="spellStart"/>
      <w:r>
        <w:rPr>
          <w:sz w:val="24"/>
        </w:rPr>
        <w:t>Ozaltun</w:t>
      </w:r>
      <w:proofErr w:type="spellEnd"/>
    </w:p>
    <w:p w14:paraId="4FB98B62" w14:textId="77777777" w:rsidR="00EE7995" w:rsidRDefault="00871812">
      <w:pPr>
        <w:ind w:left="-15"/>
      </w:pPr>
      <w:r>
        <w:t xml:space="preserve">Equations are built with nominal parameters as the basis. Thus, comparing this set of equations to the INL swelling correlation requires the nominal parameters. Nominal grain size is 8.5 </w:t>
      </w:r>
      <w:r>
        <w:rPr>
          <w:i/>
        </w:rPr>
        <w:t>µ</w:t>
      </w:r>
      <w:r>
        <w:t>m, nominal fission rate density is 5.94</w:t>
      </w:r>
      <w:r>
        <w:t>×</w:t>
      </w:r>
      <w:r>
        <w:t>10</w:t>
      </w:r>
      <w:r>
        <w:rPr>
          <w:vertAlign w:val="superscript"/>
        </w:rPr>
        <w:t xml:space="preserve">14 </w:t>
      </w:r>
      <w:proofErr w:type="spellStart"/>
      <w:r>
        <w:t>fiss</w:t>
      </w:r>
      <w:proofErr w:type="spellEnd"/>
      <w:r>
        <w:t>/cm</w:t>
      </w:r>
      <w:r>
        <w:rPr>
          <w:vertAlign w:val="superscript"/>
        </w:rPr>
        <w:t>3</w:t>
      </w:r>
      <w:r>
        <w:t xml:space="preserve">-s. Currently, </w:t>
      </w:r>
      <w:r>
        <w:t xml:space="preserve">data is fit to a range from 4.4 </w:t>
      </w:r>
      <w:r>
        <w:rPr>
          <w:i/>
        </w:rPr>
        <w:t>µ</w:t>
      </w:r>
      <w:r>
        <w:t xml:space="preserve">m to 17 </w:t>
      </w:r>
      <w:r>
        <w:rPr>
          <w:i/>
        </w:rPr>
        <w:t>µ</w:t>
      </w:r>
      <w:r>
        <w:t>m, and 3</w:t>
      </w:r>
      <w:r>
        <w:t>×</w:t>
      </w:r>
      <w:r>
        <w:t>10</w:t>
      </w:r>
      <w:r>
        <w:rPr>
          <w:vertAlign w:val="superscript"/>
        </w:rPr>
        <w:t xml:space="preserve">14 </w:t>
      </w:r>
      <w:proofErr w:type="spellStart"/>
      <w:r>
        <w:t>fiss</w:t>
      </w:r>
      <w:proofErr w:type="spellEnd"/>
      <w:r>
        <w:t>/cm</w:t>
      </w:r>
      <w:r>
        <w:rPr>
          <w:vertAlign w:val="superscript"/>
        </w:rPr>
        <w:t>3</w:t>
      </w:r>
      <w:r>
        <w:t>-s to 9</w:t>
      </w:r>
      <w:r>
        <w:t>×</w:t>
      </w:r>
      <w:r>
        <w:t>10</w:t>
      </w:r>
      <w:r>
        <w:rPr>
          <w:vertAlign w:val="superscript"/>
        </w:rPr>
        <w:t xml:space="preserve">14 </w:t>
      </w:r>
      <w:proofErr w:type="spellStart"/>
      <w:r>
        <w:t>fiss</w:t>
      </w:r>
      <w:proofErr w:type="spellEnd"/>
      <w:r>
        <w:t>/cm</w:t>
      </w:r>
      <w:r>
        <w:rPr>
          <w:vertAlign w:val="superscript"/>
        </w:rPr>
        <w:t>3</w:t>
      </w:r>
      <w:r>
        <w:t>-s. However, the expected range of applicability is anticipated to be beyond these ranges.</w:t>
      </w:r>
    </w:p>
    <w:tbl>
      <w:tblPr>
        <w:tblStyle w:val="TableGrid"/>
        <w:tblW w:w="6617" w:type="dxa"/>
        <w:tblInd w:w="1951" w:type="dxa"/>
        <w:tblCellMar>
          <w:top w:w="58" w:type="dxa"/>
          <w:left w:w="0" w:type="dxa"/>
          <w:bottom w:w="0" w:type="dxa"/>
          <w:right w:w="0" w:type="dxa"/>
        </w:tblCellMar>
        <w:tblLook w:val="04A0" w:firstRow="1" w:lastRow="0" w:firstColumn="1" w:lastColumn="0" w:noHBand="0" w:noVBand="1"/>
      </w:tblPr>
      <w:tblGrid>
        <w:gridCol w:w="6327"/>
        <w:gridCol w:w="290"/>
      </w:tblGrid>
      <w:tr w:rsidR="00EE7995" w14:paraId="4B022883" w14:textId="77777777">
        <w:trPr>
          <w:trHeight w:val="275"/>
        </w:trPr>
        <w:tc>
          <w:tcPr>
            <w:tcW w:w="6338" w:type="dxa"/>
            <w:tcBorders>
              <w:top w:val="nil"/>
              <w:left w:val="nil"/>
              <w:bottom w:val="nil"/>
              <w:right w:val="nil"/>
            </w:tcBorders>
          </w:tcPr>
          <w:p w14:paraId="1C251794" w14:textId="77777777" w:rsidR="00EE7995" w:rsidRDefault="00871812">
            <w:pPr>
              <w:spacing w:after="0" w:line="259" w:lineRule="auto"/>
              <w:ind w:firstLine="0"/>
              <w:jc w:val="left"/>
            </w:pPr>
            <w:r>
              <w:rPr>
                <w:i/>
              </w:rPr>
              <w:t>FGS</w:t>
            </w:r>
            <w:r>
              <w:t>% = [</w:t>
            </w:r>
            <w:r>
              <w:rPr>
                <w:i/>
              </w:rPr>
              <w:t>f</w:t>
            </w:r>
            <w:r>
              <w:rPr>
                <w:vertAlign w:val="subscript"/>
              </w:rPr>
              <w:t>1</w:t>
            </w:r>
            <w:r>
              <w:t>(</w:t>
            </w:r>
            <w:proofErr w:type="spellStart"/>
            <w:proofErr w:type="gramStart"/>
            <w:r>
              <w:rPr>
                <w:i/>
              </w:rPr>
              <w:t>f</w:t>
            </w:r>
            <w:r>
              <w:rPr>
                <w:i/>
                <w:vertAlign w:val="subscript"/>
              </w:rPr>
              <w:t>d</w:t>
            </w:r>
            <w:r>
              <w:rPr>
                <w:i/>
              </w:rPr>
              <w:t>,D</w:t>
            </w:r>
            <w:proofErr w:type="spellEnd"/>
            <w:proofErr w:type="gramEnd"/>
            <w:r>
              <w:t xml:space="preserve">) </w:t>
            </w:r>
            <w:r>
              <w:t xml:space="preserve">× </w:t>
            </w:r>
            <w:r>
              <w:rPr>
                <w:i/>
              </w:rPr>
              <w:t>f</w:t>
            </w:r>
            <w:r>
              <w:rPr>
                <w:i/>
                <w:vertAlign w:val="subscript"/>
              </w:rPr>
              <w:t>c</w:t>
            </w:r>
            <w:r>
              <w:t>(</w:t>
            </w:r>
            <w:proofErr w:type="spellStart"/>
            <w:r>
              <w:rPr>
                <w:i/>
              </w:rPr>
              <w:t>f</w:t>
            </w:r>
            <w:r>
              <w:rPr>
                <w:i/>
                <w:vertAlign w:val="subscript"/>
              </w:rPr>
              <w:t>d</w:t>
            </w:r>
            <w:proofErr w:type="spellEnd"/>
            <w:r>
              <w:t xml:space="preserve">) + </w:t>
            </w:r>
            <w:r>
              <w:rPr>
                <w:i/>
              </w:rPr>
              <w:t>f</w:t>
            </w:r>
            <w:r>
              <w:rPr>
                <w:vertAlign w:val="subscript"/>
              </w:rPr>
              <w:t>2</w:t>
            </w:r>
            <w:r>
              <w:t>(</w:t>
            </w:r>
            <w:proofErr w:type="spellStart"/>
            <w:r>
              <w:rPr>
                <w:i/>
              </w:rPr>
              <w:t>f</w:t>
            </w:r>
            <w:r>
              <w:rPr>
                <w:i/>
                <w:vertAlign w:val="subscript"/>
              </w:rPr>
              <w:t>d</w:t>
            </w:r>
            <w:r>
              <w:rPr>
                <w:i/>
              </w:rPr>
              <w:t>,D</w:t>
            </w:r>
            <w:proofErr w:type="spellEnd"/>
            <w:r>
              <w:t xml:space="preserve">)] </w:t>
            </w:r>
            <w:r>
              <w:t xml:space="preserve">× </w:t>
            </w:r>
            <w:r>
              <w:rPr>
                <w:i/>
              </w:rPr>
              <w:t>f</w:t>
            </w:r>
            <w:r>
              <w:rPr>
                <w:vertAlign w:val="subscript"/>
              </w:rPr>
              <w:t>3</w:t>
            </w:r>
            <w:r>
              <w:t>(</w:t>
            </w:r>
            <w:r>
              <w:rPr>
                <w:i/>
              </w:rPr>
              <w:t>f</w:t>
            </w:r>
            <w:r>
              <w:rPr>
                <w:sz w:val="34"/>
                <w:vertAlign w:val="superscript"/>
              </w:rPr>
              <w:t>˙</w:t>
            </w:r>
            <w:r>
              <w:t>)</w:t>
            </w:r>
          </w:p>
        </w:tc>
        <w:tc>
          <w:tcPr>
            <w:tcW w:w="279" w:type="dxa"/>
            <w:tcBorders>
              <w:top w:val="nil"/>
              <w:left w:val="nil"/>
              <w:bottom w:val="nil"/>
              <w:right w:val="nil"/>
            </w:tcBorders>
          </w:tcPr>
          <w:p w14:paraId="56064E99" w14:textId="77777777" w:rsidR="00EE7995" w:rsidRDefault="00871812">
            <w:pPr>
              <w:spacing w:after="0" w:line="259" w:lineRule="auto"/>
              <w:ind w:firstLine="0"/>
            </w:pPr>
            <w:r>
              <w:t>(1)</w:t>
            </w:r>
          </w:p>
        </w:tc>
      </w:tr>
    </w:tbl>
    <w:p w14:paraId="2CD8F6C4" w14:textId="77777777" w:rsidR="00EE7995" w:rsidRDefault="00871812">
      <w:pPr>
        <w:spacing w:after="404" w:line="265" w:lineRule="auto"/>
        <w:ind w:left="2214" w:right="-15" w:hanging="10"/>
        <w:jc w:val="right"/>
      </w:pPr>
      <w:r>
        <w:rPr>
          <w:noProof/>
        </w:rPr>
        <w:drawing>
          <wp:anchor distT="0" distB="0" distL="114300" distR="114300" simplePos="0" relativeHeight="251658240" behindDoc="0" locked="0" layoutInCell="1" allowOverlap="0" wp14:anchorId="01EFAB14" wp14:editId="6282BDF5">
            <wp:simplePos x="0" y="0"/>
            <wp:positionH relativeFrom="column">
              <wp:posOffset>1399528</wp:posOffset>
            </wp:positionH>
            <wp:positionV relativeFrom="paragraph">
              <wp:posOffset>-156883</wp:posOffset>
            </wp:positionV>
            <wp:extent cx="2581656" cy="1237488"/>
            <wp:effectExtent l="0" t="0" r="0" b="0"/>
            <wp:wrapSquare wrapText="bothSides"/>
            <wp:docPr id="3619" name="Picture 3619"/>
            <wp:cNvGraphicFramePr/>
            <a:graphic xmlns:a="http://schemas.openxmlformats.org/drawingml/2006/main">
              <a:graphicData uri="http://schemas.openxmlformats.org/drawingml/2006/picture">
                <pic:pic xmlns:pic="http://schemas.openxmlformats.org/drawingml/2006/picture">
                  <pic:nvPicPr>
                    <pic:cNvPr id="3619" name="Picture 3619"/>
                    <pic:cNvPicPr/>
                  </pic:nvPicPr>
                  <pic:blipFill>
                    <a:blip r:embed="rId6"/>
                    <a:stretch>
                      <a:fillRect/>
                    </a:stretch>
                  </pic:blipFill>
                  <pic:spPr>
                    <a:xfrm>
                      <a:off x="0" y="0"/>
                      <a:ext cx="2581656" cy="1237488"/>
                    </a:xfrm>
                    <a:prstGeom prst="rect">
                      <a:avLst/>
                    </a:prstGeom>
                  </pic:spPr>
                </pic:pic>
              </a:graphicData>
            </a:graphic>
          </wp:anchor>
        </w:drawing>
      </w:r>
      <w:r>
        <w:t>(2)</w:t>
      </w:r>
    </w:p>
    <w:p w14:paraId="1A7F9A7E" w14:textId="77777777" w:rsidR="00EE7995" w:rsidRDefault="00871812">
      <w:pPr>
        <w:spacing w:after="427" w:line="265" w:lineRule="auto"/>
        <w:ind w:left="2214" w:right="-15" w:hanging="10"/>
        <w:jc w:val="right"/>
      </w:pPr>
      <w:r>
        <w:t>(3)</w:t>
      </w:r>
    </w:p>
    <w:p w14:paraId="2C568CB8" w14:textId="77777777" w:rsidR="00EE7995" w:rsidRDefault="00871812">
      <w:pPr>
        <w:spacing w:after="115" w:line="265" w:lineRule="auto"/>
        <w:ind w:left="2214" w:right="-15" w:hanging="10"/>
        <w:jc w:val="right"/>
      </w:pPr>
      <w:r>
        <w:t>(4)</w:t>
      </w:r>
    </w:p>
    <w:tbl>
      <w:tblPr>
        <w:tblStyle w:val="TableGrid"/>
        <w:tblW w:w="7001" w:type="dxa"/>
        <w:tblInd w:w="1567" w:type="dxa"/>
        <w:tblCellMar>
          <w:top w:w="49" w:type="dxa"/>
          <w:left w:w="0" w:type="dxa"/>
          <w:bottom w:w="0" w:type="dxa"/>
          <w:right w:w="0" w:type="dxa"/>
        </w:tblCellMar>
        <w:tblLook w:val="04A0" w:firstRow="1" w:lastRow="0" w:firstColumn="1" w:lastColumn="0" w:noHBand="0" w:noVBand="1"/>
      </w:tblPr>
      <w:tblGrid>
        <w:gridCol w:w="6711"/>
        <w:gridCol w:w="290"/>
      </w:tblGrid>
      <w:tr w:rsidR="00EE7995" w14:paraId="380ABEA7" w14:textId="77777777">
        <w:trPr>
          <w:trHeight w:val="273"/>
        </w:trPr>
        <w:tc>
          <w:tcPr>
            <w:tcW w:w="6722" w:type="dxa"/>
            <w:tcBorders>
              <w:top w:val="nil"/>
              <w:left w:val="nil"/>
              <w:bottom w:val="nil"/>
              <w:right w:val="nil"/>
            </w:tcBorders>
          </w:tcPr>
          <w:p w14:paraId="0F614A7C" w14:textId="77777777" w:rsidR="00EE7995" w:rsidRDefault="00871812">
            <w:pPr>
              <w:spacing w:after="0" w:line="259" w:lineRule="auto"/>
              <w:ind w:firstLine="0"/>
              <w:jc w:val="left"/>
            </w:pPr>
            <w:r>
              <w:rPr>
                <w:i/>
              </w:rPr>
              <w:t>f</w:t>
            </w:r>
            <w:r>
              <w:rPr>
                <w:vertAlign w:val="subscript"/>
              </w:rPr>
              <w:t xml:space="preserve">3 </w:t>
            </w:r>
            <w:r>
              <w:t>= 7</w:t>
            </w:r>
            <w:r>
              <w:rPr>
                <w:i/>
              </w:rPr>
              <w:t>.</w:t>
            </w:r>
            <w:r>
              <w:t xml:space="preserve">3449 </w:t>
            </w:r>
            <w:r>
              <w:t xml:space="preserve">× </w:t>
            </w:r>
            <w:r>
              <w:t>10</w:t>
            </w:r>
            <w:r>
              <w:rPr>
                <w:vertAlign w:val="superscript"/>
              </w:rPr>
              <w:t>−</w:t>
            </w:r>
            <w:r>
              <w:rPr>
                <w:vertAlign w:val="superscript"/>
              </w:rPr>
              <w:t>31</w:t>
            </w:r>
            <w:r>
              <w:t xml:space="preserve">× </w:t>
            </w:r>
            <w:r>
              <w:rPr>
                <w:i/>
              </w:rPr>
              <w:t>f</w:t>
            </w:r>
            <w:r>
              <w:rPr>
                <w:sz w:val="34"/>
                <w:vertAlign w:val="superscript"/>
              </w:rPr>
              <w:t>˙</w:t>
            </w:r>
            <w:r>
              <w:rPr>
                <w:vertAlign w:val="superscript"/>
              </w:rPr>
              <w:t xml:space="preserve">2 </w:t>
            </w:r>
            <w:r>
              <w:t>+ 3</w:t>
            </w:r>
            <w:r>
              <w:rPr>
                <w:i/>
              </w:rPr>
              <w:t>.</w:t>
            </w:r>
            <w:r>
              <w:t xml:space="preserve">5975 </w:t>
            </w:r>
            <w:r>
              <w:t xml:space="preserve">× </w:t>
            </w:r>
            <w:r>
              <w:t>10</w:t>
            </w:r>
            <w:r>
              <w:rPr>
                <w:vertAlign w:val="superscript"/>
              </w:rPr>
              <w:t>−</w:t>
            </w:r>
            <w:r>
              <w:rPr>
                <w:vertAlign w:val="superscript"/>
              </w:rPr>
              <w:t>16</w:t>
            </w:r>
            <w:r>
              <w:t xml:space="preserve">× </w:t>
            </w:r>
            <w:r>
              <w:rPr>
                <w:i/>
              </w:rPr>
              <w:t>f</w:t>
            </w:r>
            <w:r>
              <w:rPr>
                <w:sz w:val="34"/>
                <w:vertAlign w:val="superscript"/>
              </w:rPr>
              <w:t xml:space="preserve">˙ </w:t>
            </w:r>
            <w:r>
              <w:t>+ 0</w:t>
            </w:r>
            <w:r>
              <w:rPr>
                <w:i/>
              </w:rPr>
              <w:t>.</w:t>
            </w:r>
            <w:r>
              <w:t>52716</w:t>
            </w:r>
          </w:p>
        </w:tc>
        <w:tc>
          <w:tcPr>
            <w:tcW w:w="279" w:type="dxa"/>
            <w:tcBorders>
              <w:top w:val="nil"/>
              <w:left w:val="nil"/>
              <w:bottom w:val="nil"/>
              <w:right w:val="nil"/>
            </w:tcBorders>
          </w:tcPr>
          <w:p w14:paraId="22733025" w14:textId="77777777" w:rsidR="00EE7995" w:rsidRDefault="00871812">
            <w:pPr>
              <w:spacing w:after="0" w:line="259" w:lineRule="auto"/>
              <w:ind w:firstLine="0"/>
            </w:pPr>
            <w:r>
              <w:t>(5)</w:t>
            </w:r>
          </w:p>
        </w:tc>
      </w:tr>
    </w:tbl>
    <w:p w14:paraId="0F40E3E3" w14:textId="77777777" w:rsidR="00EE7995" w:rsidRDefault="00871812">
      <w:pPr>
        <w:spacing w:after="324"/>
        <w:ind w:left="-15"/>
      </w:pPr>
      <w:r>
        <w:t xml:space="preserve">We can implement temperature as well once standard </w:t>
      </w:r>
      <w:proofErr w:type="gramStart"/>
      <w:r>
        <w:t>are</w:t>
      </w:r>
      <w:proofErr w:type="gramEnd"/>
      <w:r>
        <w:t xml:space="preserve"> implemented for cross-code validation of inlet/centerline temperature. This is for a reference of starting centerline temperature. Alternately stat</w:t>
      </w:r>
      <w:r>
        <w:t xml:space="preserve">ed as beginning of life, full power, centerline temperature. The nominal value is 150 </w:t>
      </w:r>
      <w:r>
        <w:rPr>
          <w:vertAlign w:val="superscript"/>
        </w:rPr>
        <w:t>◦</w:t>
      </w:r>
      <w:r>
        <w:t>C.</w:t>
      </w:r>
    </w:p>
    <w:p w14:paraId="47733F6D" w14:textId="77777777" w:rsidR="00EE7995" w:rsidRDefault="00871812">
      <w:pPr>
        <w:tabs>
          <w:tab w:val="center" w:pos="4284"/>
          <w:tab w:val="right" w:pos="8568"/>
        </w:tabs>
        <w:spacing w:after="115" w:line="265" w:lineRule="auto"/>
        <w:ind w:right="-15" w:firstLine="0"/>
        <w:jc w:val="left"/>
      </w:pPr>
      <w:r>
        <w:rPr>
          <w:rFonts w:ascii="Calibri" w:eastAsia="Calibri" w:hAnsi="Calibri" w:cs="Calibri"/>
        </w:rPr>
        <w:tab/>
      </w:r>
      <w:r>
        <w:rPr>
          <w:i/>
        </w:rPr>
        <w:t>f</w:t>
      </w:r>
      <w:r>
        <w:rPr>
          <w:vertAlign w:val="subscript"/>
        </w:rPr>
        <w:t>4</w:t>
      </w:r>
      <w:r>
        <w:t>(</w:t>
      </w:r>
      <w:r>
        <w:rPr>
          <w:i/>
        </w:rPr>
        <w:t>T</w:t>
      </w:r>
      <w:r>
        <w:t>) = 0</w:t>
      </w:r>
      <w:r>
        <w:rPr>
          <w:i/>
        </w:rPr>
        <w:t>.</w:t>
      </w:r>
      <w:r>
        <w:t xml:space="preserve">0088 </w:t>
      </w:r>
      <w:r>
        <w:t xml:space="preserve">× </w:t>
      </w:r>
      <w:r>
        <w:rPr>
          <w:i/>
        </w:rPr>
        <w:t xml:space="preserve">T </w:t>
      </w:r>
      <w:r>
        <w:t>−</w:t>
      </w:r>
      <w:r>
        <w:t xml:space="preserve"> </w:t>
      </w:r>
      <w:r>
        <w:t>0</w:t>
      </w:r>
      <w:r>
        <w:rPr>
          <w:i/>
        </w:rPr>
        <w:t>.</w:t>
      </w:r>
      <w:r>
        <w:t>3235</w:t>
      </w:r>
      <w:r>
        <w:tab/>
        <w:t>(6)</w:t>
      </w:r>
    </w:p>
    <w:p w14:paraId="2B5508C6" w14:textId="77777777" w:rsidR="00EE7995" w:rsidRDefault="00871812">
      <w:pPr>
        <w:ind w:left="-15"/>
      </w:pPr>
      <w:r>
        <w:t xml:space="preserve">An example of the fission gas swelling as a function of fission density for three different grain sizes is shown in </w:t>
      </w:r>
      <w:proofErr w:type="gramStart"/>
      <w:r>
        <w:t>Fig. ,</w:t>
      </w:r>
      <w:proofErr w:type="gramEnd"/>
      <w:r>
        <w:t xml:space="preserve"> where the </w:t>
      </w:r>
      <w:r>
        <w:t xml:space="preserve">grain sizes are shown in the legend and provided in units of </w:t>
      </w:r>
      <w:r>
        <w:rPr>
          <w:i/>
        </w:rPr>
        <w:t>µ</w:t>
      </w:r>
      <w:r>
        <w:t xml:space="preserve">m. The 8.5 </w:t>
      </w:r>
      <w:r>
        <w:rPr>
          <w:i/>
        </w:rPr>
        <w:t>µ</w:t>
      </w:r>
      <w:r>
        <w:t xml:space="preserve">m case is considered the nominal case. As can be seen, a smaller grain </w:t>
      </w:r>
      <w:r>
        <w:lastRenderedPageBreak/>
        <w:t>size leads to more rapid swelling and a larger total swelling at the end of life. Conversely, larger grain size</w:t>
      </w:r>
      <w:r>
        <w:t xml:space="preserve"> leads to a more gradual swelling behavior.</w:t>
      </w:r>
    </w:p>
    <w:p w14:paraId="783E550A" w14:textId="77777777" w:rsidR="00EE7995" w:rsidRDefault="00871812">
      <w:pPr>
        <w:ind w:left="-15"/>
      </w:pPr>
      <w:r>
        <w:t xml:space="preserve">An example of the effect of fission rate density is shown in </w:t>
      </w:r>
      <w:proofErr w:type="gramStart"/>
      <w:r>
        <w:t>Fig. ,</w:t>
      </w:r>
      <w:proofErr w:type="gramEnd"/>
      <w:r>
        <w:t xml:space="preserve"> where the fission gas swelling as a function of fission density at three fission rates densities is shown. </w:t>
      </w:r>
      <w:proofErr w:type="gramStart"/>
      <w:r>
        <w:t>An</w:t>
      </w:r>
      <w:proofErr w:type="gramEnd"/>
      <w:r>
        <w:t xml:space="preserve"> Table 1: Parameters to equations 2</w:t>
      </w:r>
      <w:r>
        <w:t xml:space="preserve"> and 4.</w:t>
      </w:r>
    </w:p>
    <w:tbl>
      <w:tblPr>
        <w:tblStyle w:val="TableGrid"/>
        <w:tblW w:w="2309" w:type="dxa"/>
        <w:tblInd w:w="3130" w:type="dxa"/>
        <w:tblCellMar>
          <w:top w:w="39" w:type="dxa"/>
          <w:left w:w="120" w:type="dxa"/>
          <w:bottom w:w="0" w:type="dxa"/>
          <w:right w:w="115" w:type="dxa"/>
        </w:tblCellMar>
        <w:tblLook w:val="04A0" w:firstRow="1" w:lastRow="0" w:firstColumn="1" w:lastColumn="0" w:noHBand="0" w:noVBand="1"/>
      </w:tblPr>
      <w:tblGrid>
        <w:gridCol w:w="1240"/>
        <w:gridCol w:w="1133"/>
      </w:tblGrid>
      <w:tr w:rsidR="00EE7995" w14:paraId="6A26E588" w14:textId="77777777">
        <w:trPr>
          <w:trHeight w:val="279"/>
        </w:trPr>
        <w:tc>
          <w:tcPr>
            <w:tcW w:w="1245" w:type="dxa"/>
            <w:tcBorders>
              <w:top w:val="single" w:sz="3" w:space="0" w:color="000000"/>
              <w:left w:val="single" w:sz="3" w:space="0" w:color="000000"/>
              <w:bottom w:val="single" w:sz="3" w:space="0" w:color="000000"/>
              <w:right w:val="single" w:sz="3" w:space="0" w:color="000000"/>
            </w:tcBorders>
          </w:tcPr>
          <w:p w14:paraId="0A515AEB" w14:textId="77777777" w:rsidR="00EE7995" w:rsidRDefault="00871812">
            <w:pPr>
              <w:spacing w:after="0" w:line="259" w:lineRule="auto"/>
              <w:ind w:firstLine="0"/>
              <w:jc w:val="left"/>
            </w:pPr>
            <w:r>
              <w:t>Coefficient</w:t>
            </w:r>
          </w:p>
        </w:tc>
        <w:tc>
          <w:tcPr>
            <w:tcW w:w="1063" w:type="dxa"/>
            <w:tcBorders>
              <w:top w:val="single" w:sz="3" w:space="0" w:color="000000"/>
              <w:left w:val="single" w:sz="3" w:space="0" w:color="000000"/>
              <w:bottom w:val="single" w:sz="3" w:space="0" w:color="000000"/>
              <w:right w:val="single" w:sz="3" w:space="0" w:color="000000"/>
            </w:tcBorders>
          </w:tcPr>
          <w:p w14:paraId="6E19ADA1" w14:textId="77777777" w:rsidR="00EE7995" w:rsidRDefault="00871812">
            <w:pPr>
              <w:spacing w:after="0" w:line="259" w:lineRule="auto"/>
              <w:ind w:right="4" w:firstLine="0"/>
              <w:jc w:val="center"/>
            </w:pPr>
            <w:r>
              <w:t>Value</w:t>
            </w:r>
          </w:p>
        </w:tc>
      </w:tr>
      <w:tr w:rsidR="00EE7995" w14:paraId="5A41F171" w14:textId="77777777">
        <w:trPr>
          <w:trHeight w:val="275"/>
        </w:trPr>
        <w:tc>
          <w:tcPr>
            <w:tcW w:w="1245" w:type="dxa"/>
            <w:tcBorders>
              <w:top w:val="single" w:sz="3" w:space="0" w:color="000000"/>
              <w:left w:val="single" w:sz="3" w:space="0" w:color="000000"/>
              <w:bottom w:val="nil"/>
              <w:right w:val="single" w:sz="3" w:space="0" w:color="000000"/>
            </w:tcBorders>
          </w:tcPr>
          <w:p w14:paraId="71408FE9" w14:textId="77777777" w:rsidR="00EE7995" w:rsidRDefault="00871812">
            <w:pPr>
              <w:spacing w:after="0" w:line="259" w:lineRule="auto"/>
              <w:ind w:right="4" w:firstLine="0"/>
              <w:jc w:val="center"/>
            </w:pPr>
            <w:r>
              <w:t>a</w:t>
            </w:r>
          </w:p>
        </w:tc>
        <w:tc>
          <w:tcPr>
            <w:tcW w:w="1063" w:type="dxa"/>
            <w:tcBorders>
              <w:top w:val="single" w:sz="3" w:space="0" w:color="000000"/>
              <w:left w:val="single" w:sz="3" w:space="0" w:color="000000"/>
              <w:bottom w:val="nil"/>
              <w:right w:val="single" w:sz="3" w:space="0" w:color="000000"/>
            </w:tcBorders>
          </w:tcPr>
          <w:p w14:paraId="54DDC100" w14:textId="77777777" w:rsidR="00EE7995" w:rsidRDefault="00871812">
            <w:pPr>
              <w:spacing w:after="0" w:line="259" w:lineRule="auto"/>
              <w:ind w:firstLine="0"/>
              <w:jc w:val="left"/>
            </w:pPr>
            <w:r>
              <w:t>14.38441</w:t>
            </w:r>
          </w:p>
        </w:tc>
      </w:tr>
      <w:tr w:rsidR="00EE7995" w14:paraId="3C0D7733" w14:textId="77777777">
        <w:trPr>
          <w:trHeight w:val="271"/>
        </w:trPr>
        <w:tc>
          <w:tcPr>
            <w:tcW w:w="1245" w:type="dxa"/>
            <w:tcBorders>
              <w:top w:val="nil"/>
              <w:left w:val="single" w:sz="3" w:space="0" w:color="000000"/>
              <w:bottom w:val="nil"/>
              <w:right w:val="single" w:sz="3" w:space="0" w:color="000000"/>
            </w:tcBorders>
          </w:tcPr>
          <w:p w14:paraId="2ED87117" w14:textId="77777777" w:rsidR="00EE7995" w:rsidRDefault="00871812">
            <w:pPr>
              <w:spacing w:after="0" w:line="259" w:lineRule="auto"/>
              <w:ind w:right="4" w:firstLine="0"/>
              <w:jc w:val="center"/>
            </w:pPr>
            <w:r>
              <w:t>b</w:t>
            </w:r>
          </w:p>
        </w:tc>
        <w:tc>
          <w:tcPr>
            <w:tcW w:w="1063" w:type="dxa"/>
            <w:tcBorders>
              <w:top w:val="nil"/>
              <w:left w:val="single" w:sz="3" w:space="0" w:color="000000"/>
              <w:bottom w:val="nil"/>
              <w:right w:val="single" w:sz="3" w:space="0" w:color="000000"/>
            </w:tcBorders>
          </w:tcPr>
          <w:p w14:paraId="40774E8E" w14:textId="77777777" w:rsidR="00EE7995" w:rsidRDefault="00871812">
            <w:pPr>
              <w:spacing w:after="0" w:line="259" w:lineRule="auto"/>
              <w:ind w:left="55" w:firstLine="0"/>
              <w:jc w:val="left"/>
            </w:pPr>
            <w:r>
              <w:t>0.82458</w:t>
            </w:r>
          </w:p>
        </w:tc>
      </w:tr>
      <w:tr w:rsidR="00EE7995" w14:paraId="08AFC846" w14:textId="77777777">
        <w:trPr>
          <w:trHeight w:val="271"/>
        </w:trPr>
        <w:tc>
          <w:tcPr>
            <w:tcW w:w="1245" w:type="dxa"/>
            <w:tcBorders>
              <w:top w:val="nil"/>
              <w:left w:val="single" w:sz="3" w:space="0" w:color="000000"/>
              <w:bottom w:val="nil"/>
              <w:right w:val="single" w:sz="3" w:space="0" w:color="000000"/>
            </w:tcBorders>
          </w:tcPr>
          <w:p w14:paraId="6BA2C2A8" w14:textId="77777777" w:rsidR="00EE7995" w:rsidRDefault="00871812">
            <w:pPr>
              <w:spacing w:after="0" w:line="259" w:lineRule="auto"/>
              <w:ind w:right="4" w:firstLine="0"/>
              <w:jc w:val="center"/>
            </w:pPr>
            <w:r>
              <w:t>c</w:t>
            </w:r>
          </w:p>
        </w:tc>
        <w:tc>
          <w:tcPr>
            <w:tcW w:w="1063" w:type="dxa"/>
            <w:tcBorders>
              <w:top w:val="nil"/>
              <w:left w:val="single" w:sz="3" w:space="0" w:color="000000"/>
              <w:bottom w:val="nil"/>
              <w:right w:val="single" w:sz="3" w:space="0" w:color="000000"/>
            </w:tcBorders>
          </w:tcPr>
          <w:p w14:paraId="5E128CC8" w14:textId="77777777" w:rsidR="00EE7995" w:rsidRDefault="00871812">
            <w:pPr>
              <w:spacing w:after="0" w:line="259" w:lineRule="auto"/>
              <w:ind w:right="4" w:firstLine="0"/>
              <w:jc w:val="center"/>
            </w:pPr>
            <w:r>
              <w:t>2.6274</w:t>
            </w:r>
          </w:p>
        </w:tc>
      </w:tr>
      <w:tr w:rsidR="00EE7995" w14:paraId="7727A1D4" w14:textId="77777777">
        <w:trPr>
          <w:trHeight w:val="271"/>
        </w:trPr>
        <w:tc>
          <w:tcPr>
            <w:tcW w:w="1245" w:type="dxa"/>
            <w:tcBorders>
              <w:top w:val="nil"/>
              <w:left w:val="single" w:sz="3" w:space="0" w:color="000000"/>
              <w:bottom w:val="nil"/>
              <w:right w:val="single" w:sz="3" w:space="0" w:color="000000"/>
            </w:tcBorders>
          </w:tcPr>
          <w:p w14:paraId="5AA2E352" w14:textId="77777777" w:rsidR="00EE7995" w:rsidRDefault="00871812">
            <w:pPr>
              <w:spacing w:after="0" w:line="259" w:lineRule="auto"/>
              <w:ind w:right="4" w:firstLine="0"/>
              <w:jc w:val="center"/>
            </w:pPr>
            <w:r>
              <w:t>d</w:t>
            </w:r>
          </w:p>
        </w:tc>
        <w:tc>
          <w:tcPr>
            <w:tcW w:w="1063" w:type="dxa"/>
            <w:tcBorders>
              <w:top w:val="nil"/>
              <w:left w:val="single" w:sz="3" w:space="0" w:color="000000"/>
              <w:bottom w:val="nil"/>
              <w:right w:val="single" w:sz="3" w:space="0" w:color="000000"/>
            </w:tcBorders>
          </w:tcPr>
          <w:p w14:paraId="35F79BFA" w14:textId="77777777" w:rsidR="00EE7995" w:rsidRDefault="00871812">
            <w:pPr>
              <w:spacing w:after="0" w:line="259" w:lineRule="auto"/>
              <w:ind w:left="18" w:firstLine="0"/>
              <w:jc w:val="left"/>
            </w:pPr>
            <w:r>
              <w:t>-1.17587</w:t>
            </w:r>
          </w:p>
        </w:tc>
      </w:tr>
      <w:tr w:rsidR="00EE7995" w14:paraId="02A257A8" w14:textId="77777777">
        <w:trPr>
          <w:trHeight w:val="271"/>
        </w:trPr>
        <w:tc>
          <w:tcPr>
            <w:tcW w:w="1245" w:type="dxa"/>
            <w:tcBorders>
              <w:top w:val="nil"/>
              <w:left w:val="single" w:sz="3" w:space="0" w:color="000000"/>
              <w:bottom w:val="nil"/>
              <w:right w:val="single" w:sz="3" w:space="0" w:color="000000"/>
            </w:tcBorders>
          </w:tcPr>
          <w:p w14:paraId="46784451" w14:textId="77777777" w:rsidR="00EE7995" w:rsidRDefault="00871812">
            <w:pPr>
              <w:spacing w:after="0" w:line="259" w:lineRule="auto"/>
              <w:ind w:right="4" w:firstLine="0"/>
              <w:jc w:val="center"/>
            </w:pPr>
            <w:r>
              <w:t>e</w:t>
            </w:r>
          </w:p>
        </w:tc>
        <w:tc>
          <w:tcPr>
            <w:tcW w:w="1063" w:type="dxa"/>
            <w:tcBorders>
              <w:top w:val="nil"/>
              <w:left w:val="single" w:sz="3" w:space="0" w:color="000000"/>
              <w:bottom w:val="nil"/>
              <w:right w:val="single" w:sz="3" w:space="0" w:color="000000"/>
            </w:tcBorders>
          </w:tcPr>
          <w:p w14:paraId="0EE1AC79" w14:textId="77777777" w:rsidR="00EE7995" w:rsidRDefault="00871812">
            <w:pPr>
              <w:spacing w:after="0" w:line="259" w:lineRule="auto"/>
              <w:ind w:left="55" w:firstLine="0"/>
              <w:jc w:val="left"/>
            </w:pPr>
            <w:r>
              <w:t>0.97384</w:t>
            </w:r>
          </w:p>
        </w:tc>
      </w:tr>
      <w:tr w:rsidR="00EE7995" w14:paraId="1732A29B" w14:textId="77777777">
        <w:trPr>
          <w:trHeight w:val="271"/>
        </w:trPr>
        <w:tc>
          <w:tcPr>
            <w:tcW w:w="1245" w:type="dxa"/>
            <w:tcBorders>
              <w:top w:val="nil"/>
              <w:left w:val="single" w:sz="3" w:space="0" w:color="000000"/>
              <w:bottom w:val="nil"/>
              <w:right w:val="single" w:sz="3" w:space="0" w:color="000000"/>
            </w:tcBorders>
          </w:tcPr>
          <w:p w14:paraId="29097644" w14:textId="77777777" w:rsidR="00EE7995" w:rsidRDefault="00871812">
            <w:pPr>
              <w:spacing w:after="0" w:line="259" w:lineRule="auto"/>
              <w:ind w:right="4" w:firstLine="0"/>
              <w:jc w:val="center"/>
            </w:pPr>
            <w:r>
              <w:t>f</w:t>
            </w:r>
          </w:p>
        </w:tc>
        <w:tc>
          <w:tcPr>
            <w:tcW w:w="1063" w:type="dxa"/>
            <w:tcBorders>
              <w:top w:val="nil"/>
              <w:left w:val="single" w:sz="3" w:space="0" w:color="000000"/>
              <w:bottom w:val="nil"/>
              <w:right w:val="single" w:sz="3" w:space="0" w:color="000000"/>
            </w:tcBorders>
          </w:tcPr>
          <w:p w14:paraId="6B0AC4F4" w14:textId="77777777" w:rsidR="00EE7995" w:rsidRDefault="00871812">
            <w:pPr>
              <w:spacing w:after="0" w:line="259" w:lineRule="auto"/>
              <w:ind w:left="55" w:firstLine="0"/>
              <w:jc w:val="left"/>
            </w:pPr>
            <w:r>
              <w:t>1.54856</w:t>
            </w:r>
          </w:p>
        </w:tc>
      </w:tr>
      <w:tr w:rsidR="00EE7995" w14:paraId="4B4D7AF0" w14:textId="77777777">
        <w:trPr>
          <w:trHeight w:val="271"/>
        </w:trPr>
        <w:tc>
          <w:tcPr>
            <w:tcW w:w="1245" w:type="dxa"/>
            <w:tcBorders>
              <w:top w:val="nil"/>
              <w:left w:val="single" w:sz="3" w:space="0" w:color="000000"/>
              <w:bottom w:val="nil"/>
              <w:right w:val="single" w:sz="3" w:space="0" w:color="000000"/>
            </w:tcBorders>
          </w:tcPr>
          <w:p w14:paraId="0C94BF65" w14:textId="77777777" w:rsidR="00EE7995" w:rsidRDefault="00871812">
            <w:pPr>
              <w:spacing w:after="0" w:line="259" w:lineRule="auto"/>
              <w:ind w:right="4" w:firstLine="0"/>
              <w:jc w:val="center"/>
            </w:pPr>
            <w:r>
              <w:t>g</w:t>
            </w:r>
          </w:p>
        </w:tc>
        <w:tc>
          <w:tcPr>
            <w:tcW w:w="1063" w:type="dxa"/>
            <w:tcBorders>
              <w:top w:val="nil"/>
              <w:left w:val="single" w:sz="3" w:space="0" w:color="000000"/>
              <w:bottom w:val="nil"/>
              <w:right w:val="single" w:sz="3" w:space="0" w:color="000000"/>
            </w:tcBorders>
          </w:tcPr>
          <w:p w14:paraId="417F4A2D" w14:textId="77777777" w:rsidR="00EE7995" w:rsidRDefault="00871812">
            <w:pPr>
              <w:spacing w:after="0" w:line="259" w:lineRule="auto"/>
              <w:ind w:left="55" w:firstLine="0"/>
              <w:jc w:val="left"/>
            </w:pPr>
            <w:r>
              <w:t>3.12897</w:t>
            </w:r>
          </w:p>
        </w:tc>
      </w:tr>
      <w:tr w:rsidR="00EE7995" w14:paraId="6CB140A3" w14:textId="77777777">
        <w:trPr>
          <w:trHeight w:val="271"/>
        </w:trPr>
        <w:tc>
          <w:tcPr>
            <w:tcW w:w="1245" w:type="dxa"/>
            <w:tcBorders>
              <w:top w:val="nil"/>
              <w:left w:val="single" w:sz="3" w:space="0" w:color="000000"/>
              <w:bottom w:val="nil"/>
              <w:right w:val="single" w:sz="3" w:space="0" w:color="000000"/>
            </w:tcBorders>
          </w:tcPr>
          <w:p w14:paraId="767213D0" w14:textId="77777777" w:rsidR="00EE7995" w:rsidRDefault="00871812">
            <w:pPr>
              <w:spacing w:after="0" w:line="259" w:lineRule="auto"/>
              <w:ind w:right="4" w:firstLine="0"/>
              <w:jc w:val="center"/>
            </w:pPr>
            <w:r>
              <w:t>h</w:t>
            </w:r>
          </w:p>
        </w:tc>
        <w:tc>
          <w:tcPr>
            <w:tcW w:w="1063" w:type="dxa"/>
            <w:tcBorders>
              <w:top w:val="nil"/>
              <w:left w:val="single" w:sz="3" w:space="0" w:color="000000"/>
              <w:bottom w:val="nil"/>
              <w:right w:val="single" w:sz="3" w:space="0" w:color="000000"/>
            </w:tcBorders>
          </w:tcPr>
          <w:p w14:paraId="116F0F79" w14:textId="77777777" w:rsidR="00EE7995" w:rsidRDefault="00871812">
            <w:pPr>
              <w:spacing w:after="0" w:line="259" w:lineRule="auto"/>
              <w:ind w:left="18" w:firstLine="0"/>
              <w:jc w:val="left"/>
            </w:pPr>
            <w:r>
              <w:t>-0.44803</w:t>
            </w:r>
          </w:p>
        </w:tc>
      </w:tr>
      <w:tr w:rsidR="00EE7995" w14:paraId="06BC886D" w14:textId="77777777">
        <w:trPr>
          <w:trHeight w:val="271"/>
        </w:trPr>
        <w:tc>
          <w:tcPr>
            <w:tcW w:w="1245" w:type="dxa"/>
            <w:tcBorders>
              <w:top w:val="nil"/>
              <w:left w:val="single" w:sz="3" w:space="0" w:color="000000"/>
              <w:bottom w:val="nil"/>
              <w:right w:val="single" w:sz="3" w:space="0" w:color="000000"/>
            </w:tcBorders>
          </w:tcPr>
          <w:p w14:paraId="6709A972" w14:textId="77777777" w:rsidR="00EE7995" w:rsidRDefault="00871812">
            <w:pPr>
              <w:spacing w:after="0" w:line="259" w:lineRule="auto"/>
              <w:ind w:right="4" w:firstLine="0"/>
              <w:jc w:val="center"/>
            </w:pPr>
            <w:r>
              <w:t>j</w:t>
            </w:r>
          </w:p>
        </w:tc>
        <w:tc>
          <w:tcPr>
            <w:tcW w:w="1063" w:type="dxa"/>
            <w:tcBorders>
              <w:top w:val="nil"/>
              <w:left w:val="single" w:sz="3" w:space="0" w:color="000000"/>
              <w:bottom w:val="nil"/>
              <w:right w:val="single" w:sz="3" w:space="0" w:color="000000"/>
            </w:tcBorders>
          </w:tcPr>
          <w:p w14:paraId="78B65A8B" w14:textId="77777777" w:rsidR="00EE7995" w:rsidRDefault="00871812">
            <w:pPr>
              <w:spacing w:after="0" w:line="259" w:lineRule="auto"/>
              <w:ind w:left="55" w:firstLine="0"/>
              <w:jc w:val="left"/>
            </w:pPr>
            <w:r>
              <w:t>3.16271</w:t>
            </w:r>
          </w:p>
        </w:tc>
      </w:tr>
      <w:tr w:rsidR="00EE7995" w14:paraId="5308BD8A" w14:textId="77777777">
        <w:trPr>
          <w:trHeight w:val="271"/>
        </w:trPr>
        <w:tc>
          <w:tcPr>
            <w:tcW w:w="1245" w:type="dxa"/>
            <w:tcBorders>
              <w:top w:val="nil"/>
              <w:left w:val="single" w:sz="3" w:space="0" w:color="000000"/>
              <w:bottom w:val="nil"/>
              <w:right w:val="single" w:sz="3" w:space="0" w:color="000000"/>
            </w:tcBorders>
          </w:tcPr>
          <w:p w14:paraId="09CA6FE1" w14:textId="77777777" w:rsidR="00EE7995" w:rsidRDefault="00871812">
            <w:pPr>
              <w:spacing w:after="0" w:line="259" w:lineRule="auto"/>
              <w:ind w:right="4" w:firstLine="0"/>
              <w:jc w:val="center"/>
            </w:pPr>
            <w:r>
              <w:t>k</w:t>
            </w:r>
          </w:p>
        </w:tc>
        <w:tc>
          <w:tcPr>
            <w:tcW w:w="1063" w:type="dxa"/>
            <w:tcBorders>
              <w:top w:val="nil"/>
              <w:left w:val="single" w:sz="3" w:space="0" w:color="000000"/>
              <w:bottom w:val="nil"/>
              <w:right w:val="single" w:sz="3" w:space="0" w:color="000000"/>
            </w:tcBorders>
          </w:tcPr>
          <w:p w14:paraId="3632B9A5" w14:textId="77777777" w:rsidR="00EE7995" w:rsidRDefault="00871812">
            <w:pPr>
              <w:spacing w:after="0" w:line="259" w:lineRule="auto"/>
              <w:ind w:left="55" w:firstLine="0"/>
              <w:jc w:val="left"/>
            </w:pPr>
            <w:r>
              <w:t>0.27553</w:t>
            </w:r>
          </w:p>
        </w:tc>
      </w:tr>
      <w:tr w:rsidR="00EE7995" w14:paraId="40566917" w14:textId="77777777">
        <w:trPr>
          <w:trHeight w:val="271"/>
        </w:trPr>
        <w:tc>
          <w:tcPr>
            <w:tcW w:w="1245" w:type="dxa"/>
            <w:tcBorders>
              <w:top w:val="nil"/>
              <w:left w:val="single" w:sz="3" w:space="0" w:color="000000"/>
              <w:bottom w:val="nil"/>
              <w:right w:val="single" w:sz="3" w:space="0" w:color="000000"/>
            </w:tcBorders>
          </w:tcPr>
          <w:p w14:paraId="115C45BB" w14:textId="77777777" w:rsidR="00EE7995" w:rsidRDefault="00871812">
            <w:pPr>
              <w:spacing w:after="0" w:line="259" w:lineRule="auto"/>
              <w:ind w:right="4" w:firstLine="0"/>
              <w:jc w:val="center"/>
            </w:pPr>
            <w:r>
              <w:t>l</w:t>
            </w:r>
          </w:p>
        </w:tc>
        <w:tc>
          <w:tcPr>
            <w:tcW w:w="1063" w:type="dxa"/>
            <w:tcBorders>
              <w:top w:val="nil"/>
              <w:left w:val="single" w:sz="3" w:space="0" w:color="000000"/>
              <w:bottom w:val="nil"/>
              <w:right w:val="single" w:sz="3" w:space="0" w:color="000000"/>
            </w:tcBorders>
          </w:tcPr>
          <w:p w14:paraId="1BEBCE4F" w14:textId="77777777" w:rsidR="00EE7995" w:rsidRDefault="00871812">
            <w:pPr>
              <w:spacing w:after="0" w:line="259" w:lineRule="auto"/>
              <w:ind w:firstLine="0"/>
              <w:jc w:val="left"/>
            </w:pPr>
            <w:r>
              <w:t>16.26997</w:t>
            </w:r>
          </w:p>
        </w:tc>
      </w:tr>
      <w:tr w:rsidR="00EE7995" w14:paraId="7C908C9B" w14:textId="77777777">
        <w:trPr>
          <w:trHeight w:val="275"/>
        </w:trPr>
        <w:tc>
          <w:tcPr>
            <w:tcW w:w="1245" w:type="dxa"/>
            <w:tcBorders>
              <w:top w:val="nil"/>
              <w:left w:val="single" w:sz="3" w:space="0" w:color="000000"/>
              <w:bottom w:val="single" w:sz="3" w:space="0" w:color="000000"/>
              <w:right w:val="single" w:sz="3" w:space="0" w:color="000000"/>
            </w:tcBorders>
          </w:tcPr>
          <w:p w14:paraId="4E0A80A1" w14:textId="77777777" w:rsidR="00EE7995" w:rsidRDefault="00871812">
            <w:pPr>
              <w:spacing w:after="0" w:line="259" w:lineRule="auto"/>
              <w:ind w:right="4" w:firstLine="0"/>
              <w:jc w:val="center"/>
            </w:pPr>
            <w:r>
              <w:t>m</w:t>
            </w:r>
          </w:p>
        </w:tc>
        <w:tc>
          <w:tcPr>
            <w:tcW w:w="1063" w:type="dxa"/>
            <w:tcBorders>
              <w:top w:val="nil"/>
              <w:left w:val="single" w:sz="3" w:space="0" w:color="000000"/>
              <w:bottom w:val="single" w:sz="3" w:space="0" w:color="000000"/>
              <w:right w:val="single" w:sz="3" w:space="0" w:color="000000"/>
            </w:tcBorders>
          </w:tcPr>
          <w:p w14:paraId="03F58233" w14:textId="77777777" w:rsidR="00EE7995" w:rsidRDefault="00871812">
            <w:pPr>
              <w:spacing w:after="0" w:line="259" w:lineRule="auto"/>
              <w:ind w:firstLine="0"/>
              <w:jc w:val="left"/>
            </w:pPr>
            <w:r>
              <w:t>15.99187</w:t>
            </w:r>
          </w:p>
        </w:tc>
      </w:tr>
    </w:tbl>
    <w:p w14:paraId="506F0B59" w14:textId="77777777" w:rsidR="00EE7995" w:rsidRDefault="00871812">
      <w:pPr>
        <w:spacing w:after="319" w:line="259" w:lineRule="auto"/>
        <w:ind w:left="1071" w:firstLine="0"/>
        <w:jc w:val="left"/>
      </w:pPr>
      <w:r>
        <w:rPr>
          <w:noProof/>
        </w:rPr>
        <w:drawing>
          <wp:inline distT="0" distB="0" distL="0" distR="0" wp14:anchorId="4CBE59D7" wp14:editId="3D8964EC">
            <wp:extent cx="4080510" cy="3264408"/>
            <wp:effectExtent l="0" t="0" r="0" b="0"/>
            <wp:docPr id="286" name="Picture 286"/>
            <wp:cNvGraphicFramePr/>
            <a:graphic xmlns:a="http://schemas.openxmlformats.org/drawingml/2006/main">
              <a:graphicData uri="http://schemas.openxmlformats.org/drawingml/2006/picture">
                <pic:pic xmlns:pic="http://schemas.openxmlformats.org/drawingml/2006/picture">
                  <pic:nvPicPr>
                    <pic:cNvPr id="286" name="Picture 286"/>
                    <pic:cNvPicPr/>
                  </pic:nvPicPr>
                  <pic:blipFill>
                    <a:blip r:embed="rId7"/>
                    <a:stretch>
                      <a:fillRect/>
                    </a:stretch>
                  </pic:blipFill>
                  <pic:spPr>
                    <a:xfrm>
                      <a:off x="0" y="0"/>
                      <a:ext cx="4080510" cy="3264408"/>
                    </a:xfrm>
                    <a:prstGeom prst="rect">
                      <a:avLst/>
                    </a:prstGeom>
                  </pic:spPr>
                </pic:pic>
              </a:graphicData>
            </a:graphic>
          </wp:inline>
        </w:drawing>
      </w:r>
    </w:p>
    <w:p w14:paraId="4F1324AE" w14:textId="77777777" w:rsidR="00EE7995" w:rsidRDefault="00871812">
      <w:pPr>
        <w:ind w:left="-15" w:firstLine="0"/>
      </w:pPr>
      <w:r>
        <w:lastRenderedPageBreak/>
        <w:t xml:space="preserve">Figure 1: Fission gas swelling as a function of fission density at three unique grain sizes. increase in the fission rate density, at the same fission density, tends to increase the amount of swelling. The data shown is for the 4.4 </w:t>
      </w:r>
      <w:r>
        <w:rPr>
          <w:i/>
        </w:rPr>
        <w:t>µ</w:t>
      </w:r>
      <w:r>
        <w:t>m grain size. Currently</w:t>
      </w:r>
      <w:r>
        <w:t>, the fission rate density dependence does not have a grain size dependence.</w:t>
      </w:r>
    </w:p>
    <w:p w14:paraId="2C730EC3" w14:textId="77777777" w:rsidR="00EE7995" w:rsidRDefault="00871812">
      <w:pPr>
        <w:spacing w:after="319" w:line="259" w:lineRule="auto"/>
        <w:ind w:left="1071" w:firstLine="0"/>
        <w:jc w:val="left"/>
      </w:pPr>
      <w:r>
        <w:rPr>
          <w:noProof/>
        </w:rPr>
        <w:drawing>
          <wp:inline distT="0" distB="0" distL="0" distR="0" wp14:anchorId="5AF18714" wp14:editId="7ED7DFD5">
            <wp:extent cx="4080510" cy="3264408"/>
            <wp:effectExtent l="0" t="0" r="0" b="0"/>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8"/>
                    <a:stretch>
                      <a:fillRect/>
                    </a:stretch>
                  </pic:blipFill>
                  <pic:spPr>
                    <a:xfrm>
                      <a:off x="0" y="0"/>
                      <a:ext cx="4080510" cy="3264408"/>
                    </a:xfrm>
                    <a:prstGeom prst="rect">
                      <a:avLst/>
                    </a:prstGeom>
                  </pic:spPr>
                </pic:pic>
              </a:graphicData>
            </a:graphic>
          </wp:inline>
        </w:drawing>
      </w:r>
    </w:p>
    <w:p w14:paraId="550A29BA" w14:textId="77777777" w:rsidR="00EE7995" w:rsidRDefault="00871812">
      <w:pPr>
        <w:ind w:left="-15" w:firstLine="0"/>
      </w:pPr>
      <w:r>
        <w:t>Figure 2: Fission gas swelling as a function of fission density at three unique fission rate densities.</w:t>
      </w:r>
    </w:p>
    <w:sectPr w:rsidR="00EE7995">
      <w:footerReference w:type="even" r:id="rId9"/>
      <w:footerReference w:type="default" r:id="rId10"/>
      <w:footerReference w:type="first" r:id="rId11"/>
      <w:pgSz w:w="12240" w:h="15840"/>
      <w:pgMar w:top="1969" w:right="1836" w:bottom="2809" w:left="1836" w:header="720" w:footer="22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AF091" w14:textId="77777777" w:rsidR="00871812" w:rsidRDefault="00871812">
      <w:pPr>
        <w:spacing w:after="0" w:line="240" w:lineRule="auto"/>
      </w:pPr>
      <w:r>
        <w:separator/>
      </w:r>
    </w:p>
  </w:endnote>
  <w:endnote w:type="continuationSeparator" w:id="0">
    <w:p w14:paraId="5D404D2A" w14:textId="77777777" w:rsidR="00871812" w:rsidRDefault="00871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0E3B0" w14:textId="77777777" w:rsidR="00EE7995" w:rsidRDefault="00871812">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D4D63" w14:textId="77777777" w:rsidR="00EE7995" w:rsidRDefault="00871812">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7B98A" w14:textId="77777777" w:rsidR="00EE7995" w:rsidRDefault="00871812">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30CA2" w14:textId="77777777" w:rsidR="00871812" w:rsidRDefault="00871812">
      <w:pPr>
        <w:spacing w:after="0" w:line="240" w:lineRule="auto"/>
      </w:pPr>
      <w:r>
        <w:separator/>
      </w:r>
    </w:p>
  </w:footnote>
  <w:footnote w:type="continuationSeparator" w:id="0">
    <w:p w14:paraId="3278A42D" w14:textId="77777777" w:rsidR="00871812" w:rsidRDefault="008718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995"/>
    <w:rsid w:val="001D76AA"/>
    <w:rsid w:val="00871812"/>
    <w:rsid w:val="00EE7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676C77"/>
  <w15:docId w15:val="{0D127DD9-0551-CE44-AF90-0C21AA453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1" w:lineRule="auto"/>
      <w:ind w:firstLine="329"/>
      <w:jc w:val="both"/>
    </w:pPr>
    <w:rPr>
      <w:rFonts w:ascii="Cambria" w:eastAsia="Cambria" w:hAnsi="Cambria" w:cs="Cambria"/>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cp:lastModifiedBy>Benjamin Beeler</cp:lastModifiedBy>
  <cp:revision>2</cp:revision>
  <dcterms:created xsi:type="dcterms:W3CDTF">2021-08-27T17:40:00Z</dcterms:created>
  <dcterms:modified xsi:type="dcterms:W3CDTF">2021-08-27T17:40:00Z</dcterms:modified>
</cp:coreProperties>
</file>