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F1A3" w14:textId="085A5EF4" w:rsidR="00EB3C98" w:rsidRPr="00EB3C98" w:rsidRDefault="00EB3C98" w:rsidP="00EB3C98">
      <w:pPr>
        <w:widowControl w:val="0"/>
        <w:autoSpaceDE w:val="0"/>
        <w:autoSpaceDN w:val="0"/>
        <w:adjustRightInd w:val="0"/>
        <w:rPr>
          <w:color w:val="4472C4" w:themeColor="accent1"/>
        </w:rPr>
      </w:pPr>
      <w:r w:rsidRPr="00EB3C98">
        <w:rPr>
          <w:color w:val="4472C4" w:themeColor="accent1"/>
        </w:rPr>
        <w:t>We thank the reviewers for their careful consideration of the manuscript and the points that were raised. W</w:t>
      </w:r>
      <w:r w:rsidRPr="00EB3C98">
        <w:rPr>
          <w:color w:val="4472C4" w:themeColor="accent1"/>
        </w:rPr>
        <w:t>e feel that we have appropriately addressed all suggested revisions and have thus improved the clarity and the quality of the manuscript.</w:t>
      </w:r>
      <w:r w:rsidR="00414247">
        <w:rPr>
          <w:color w:val="4472C4" w:themeColor="accent1"/>
        </w:rPr>
        <w:t xml:space="preserve"> Full responses to individual points are below, in blue.</w:t>
      </w:r>
    </w:p>
    <w:p w14:paraId="5CF06CAB" w14:textId="1BF44BF1" w:rsidR="00EB3C98" w:rsidRDefault="00EB3C98" w:rsidP="00A632E3"/>
    <w:p w14:paraId="3B9F64A9" w14:textId="77777777" w:rsidR="00EB3C98" w:rsidRDefault="00EB3C98" w:rsidP="00A632E3"/>
    <w:p w14:paraId="7CA766CD" w14:textId="0E85BC8F" w:rsidR="00A632E3" w:rsidRDefault="00A632E3" w:rsidP="00A632E3">
      <w:r>
        <w:t>Reviewer 1</w:t>
      </w:r>
      <w:r>
        <w:tab/>
      </w:r>
      <w:r>
        <w:tab/>
      </w:r>
    </w:p>
    <w:p w14:paraId="3D1FBAD6" w14:textId="77777777" w:rsidR="00A632E3" w:rsidRDefault="00A632E3" w:rsidP="00A632E3">
      <w:r>
        <w:t xml:space="preserve">The authors present atomistic simulations of </w:t>
      </w:r>
      <w:proofErr w:type="spellStart"/>
      <w:r>
        <w:t>Xe</w:t>
      </w:r>
      <w:proofErr w:type="spellEnd"/>
      <w:r>
        <w:t xml:space="preserv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 xml:space="preserve">The authors state that "there is a region below a </w:t>
      </w:r>
      <w:proofErr w:type="spellStart"/>
      <w:r>
        <w:t>Xe</w:t>
      </w:r>
      <w:proofErr w:type="spellEnd"/>
      <w:r>
        <w:t xml:space="preserve">/vacancy ratio of 0.15 where additional </w:t>
      </w:r>
      <w:proofErr w:type="spellStart"/>
      <w:r>
        <w:t>Xe</w:t>
      </w:r>
      <w:proofErr w:type="spellEnd"/>
      <w:r>
        <w:t xml:space="preserve"> atoms inserted into the bubble produce no noticeable change in the relative bubble energy". What atomic density of gas does this ratio correspond to?</w:t>
      </w:r>
    </w:p>
    <w:p w14:paraId="0787AE0B" w14:textId="1860C627" w:rsidR="00BA6AC7" w:rsidRDefault="00BA6AC7" w:rsidP="00BA6AC7"/>
    <w:p w14:paraId="6F982C9F" w14:textId="62817A30" w:rsidR="00B7161F" w:rsidRPr="009873C7" w:rsidRDefault="009873C7" w:rsidP="00BA6AC7">
      <w:pPr>
        <w:rPr>
          <w:color w:val="4472C4" w:themeColor="accent1"/>
        </w:rPr>
      </w:pPr>
      <w:r w:rsidRPr="009873C7">
        <w:rPr>
          <w:color w:val="4472C4" w:themeColor="accent1"/>
        </w:rPr>
        <w:t xml:space="preserve">This </w:t>
      </w:r>
      <w:proofErr w:type="spellStart"/>
      <w:r w:rsidRPr="009873C7">
        <w:rPr>
          <w:color w:val="4472C4" w:themeColor="accent1"/>
        </w:rPr>
        <w:t>Xe</w:t>
      </w:r>
      <w:proofErr w:type="spellEnd"/>
      <w:r w:rsidRPr="009873C7">
        <w:rPr>
          <w:color w:val="4472C4" w:themeColor="accent1"/>
        </w:rPr>
        <w:t>/vacancy ratio corresponds to a</w:t>
      </w:r>
      <w:r w:rsidR="00B7161F" w:rsidRPr="009873C7">
        <w:rPr>
          <w:color w:val="4472C4" w:themeColor="accent1"/>
        </w:rPr>
        <w:t xml:space="preserve"> molar volume </w:t>
      </w:r>
      <w:r w:rsidRPr="009873C7">
        <w:rPr>
          <w:color w:val="4472C4" w:themeColor="accent1"/>
        </w:rPr>
        <w:t>of approximately 80 cc/mol. This information has been included in the manuscript. The choice of molar volume is to maintain consistency with results appearing later in the text.</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w:t>
      </w:r>
      <w:proofErr w:type="spellStart"/>
      <w:r>
        <w:t>Xe</w:t>
      </w:r>
      <w:proofErr w:type="spellEnd"/>
      <w:r>
        <w:t>][</w:t>
      </w:r>
      <w:proofErr w:type="spellStart"/>
      <w:r>
        <w:t>Vac</w:t>
      </w:r>
      <w:proofErr w:type="spellEnd"/>
      <w:r>
        <w:t>]</w:t>
      </w:r>
      <w:proofErr w:type="spellStart"/>
      <w:r>
        <w:t>exp</w:t>
      </w:r>
      <w:proofErr w:type="spellEnd"/>
      <w:r>
        <w:t>(-E/</w:t>
      </w:r>
      <w:proofErr w:type="spellStart"/>
      <w:r>
        <w:t>kT</w:t>
      </w:r>
      <w:proofErr w:type="spellEnd"/>
      <w:r>
        <w:t>) where [</w:t>
      </w:r>
      <w:proofErr w:type="spellStart"/>
      <w:r>
        <w:t>Xe</w:t>
      </w:r>
      <w:proofErr w:type="spellEnd"/>
      <w:r>
        <w:t>] and [</w:t>
      </w:r>
      <w:proofErr w:type="spellStart"/>
      <w:r>
        <w:t>Vac</w:t>
      </w:r>
      <w:proofErr w:type="spellEnd"/>
      <w:r>
        <w:t xml:space="preserve">] are concentrations of </w:t>
      </w:r>
      <w:proofErr w:type="spellStart"/>
      <w:r>
        <w:t>Xe</w:t>
      </w:r>
      <w:proofErr w:type="spellEnd"/>
      <w:r>
        <w:t xml:space="preserve"> substitutional and a single vacancy, respectively, and E is a binding energy. In this case, concentration of such sub-vacancy pairs is much lower than concentration of </w:t>
      </w:r>
      <w:proofErr w:type="spellStart"/>
      <w:r>
        <w:t>Xe</w:t>
      </w:r>
      <w:proofErr w:type="spellEnd"/>
      <w:r>
        <w:t xml:space="preserve"> </w:t>
      </w:r>
      <w:proofErr w:type="spellStart"/>
      <w:r>
        <w:t>substitutionals</w:t>
      </w:r>
      <w:proofErr w:type="spellEnd"/>
      <w:r>
        <w:t xml:space="preserve">. Thus, </w:t>
      </w:r>
      <w:proofErr w:type="spellStart"/>
      <w:r>
        <w:t>Xe</w:t>
      </w:r>
      <w:proofErr w:type="spellEnd"/>
      <w:r>
        <w:t xml:space="preserve"> substitutional should be used as a reference state in equation (3). Also, I strongly recommend to collect all energies in a one table.</w:t>
      </w:r>
    </w:p>
    <w:p w14:paraId="17C77B52" w14:textId="127CCA1D" w:rsidR="00A632E3" w:rsidRDefault="00A632E3" w:rsidP="00A632E3"/>
    <w:p w14:paraId="22ECFF33" w14:textId="0D411AA6" w:rsidR="00C24063" w:rsidRPr="007D423B" w:rsidRDefault="00C24063" w:rsidP="00A632E3">
      <w:pPr>
        <w:rPr>
          <w:color w:val="4472C4" w:themeColor="accent1"/>
        </w:rPr>
      </w:pPr>
      <w:r w:rsidRPr="007D423B">
        <w:rPr>
          <w:color w:val="4472C4" w:themeColor="accent1"/>
        </w:rPr>
        <w:t xml:space="preserve">We thank the referee for the comment. We ourselves had disagreements on the proper way to establish a reference state. </w:t>
      </w:r>
      <w:r w:rsidR="002F58F4" w:rsidRPr="007D423B">
        <w:rPr>
          <w:color w:val="4472C4" w:themeColor="accent1"/>
        </w:rPr>
        <w:t>We</w:t>
      </w:r>
      <w:r w:rsidRPr="007D423B">
        <w:rPr>
          <w:color w:val="4472C4" w:themeColor="accent1"/>
        </w:rPr>
        <w:t xml:space="preserve"> acknowledge the referee’s comments and have modified the reference state t</w:t>
      </w:r>
      <w:r w:rsidR="009E201D">
        <w:rPr>
          <w:color w:val="4472C4" w:themeColor="accent1"/>
        </w:rPr>
        <w:t>o</w:t>
      </w:r>
      <w:r w:rsidRPr="007D423B">
        <w:rPr>
          <w:color w:val="4472C4" w:themeColor="accent1"/>
        </w:rPr>
        <w:t xml:space="preserve"> be the substitutional configuration. Fig. 4 has been updated to reflect this change, as well as the text. </w:t>
      </w:r>
    </w:p>
    <w:p w14:paraId="76A2907B" w14:textId="558DAFF9" w:rsidR="00F766AF" w:rsidRPr="007D423B" w:rsidRDefault="00F766AF" w:rsidP="00A632E3">
      <w:pPr>
        <w:rPr>
          <w:color w:val="4472C4" w:themeColor="accent1"/>
        </w:rPr>
      </w:pPr>
    </w:p>
    <w:p w14:paraId="37A4D5E0" w14:textId="1DA9768C" w:rsidR="00F766AF" w:rsidRPr="007D423B" w:rsidRDefault="00F766AF" w:rsidP="00A632E3">
      <w:pPr>
        <w:rPr>
          <w:color w:val="4472C4" w:themeColor="accent1"/>
        </w:rPr>
      </w:pPr>
      <w:r w:rsidRPr="007D423B">
        <w:rPr>
          <w:color w:val="4472C4" w:themeColor="accent1"/>
        </w:rPr>
        <w:t xml:space="preserve">In addition, the referee’s comments prompted us to go back and refine our defect energies to make sure we were analyzing the correct configuration. </w:t>
      </w:r>
      <w:r w:rsidR="002C553F" w:rsidRPr="007D423B">
        <w:rPr>
          <w:color w:val="4472C4" w:themeColor="accent1"/>
        </w:rPr>
        <w:t>This study on defect energetics has been included into the manuscript</w:t>
      </w:r>
      <w:r w:rsidR="009E201D">
        <w:rPr>
          <w:color w:val="4472C4" w:themeColor="accent1"/>
        </w:rPr>
        <w:t>, w</w:t>
      </w:r>
      <w:r w:rsidR="002C553F" w:rsidRPr="007D423B">
        <w:rPr>
          <w:color w:val="4472C4" w:themeColor="accent1"/>
        </w:rPr>
        <w:t xml:space="preserve">ith the formation energies added as a table. </w:t>
      </w:r>
      <w:r w:rsidR="00820AAC" w:rsidRPr="007D423B">
        <w:rPr>
          <w:color w:val="4472C4" w:themeColor="accent1"/>
        </w:rPr>
        <w:t xml:space="preserve">We feel this </w:t>
      </w:r>
      <w:r w:rsidR="009E201D">
        <w:rPr>
          <w:color w:val="4472C4" w:themeColor="accent1"/>
        </w:rPr>
        <w:t xml:space="preserve">has </w:t>
      </w:r>
      <w:r w:rsidR="00820AAC" w:rsidRPr="007D423B">
        <w:rPr>
          <w:color w:val="4472C4" w:themeColor="accent1"/>
        </w:rPr>
        <w:t>strengthened the manuscript.</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400BAF91" w14:textId="33264183" w:rsidR="008B0B20" w:rsidRPr="009C1E67" w:rsidRDefault="008B0B20" w:rsidP="00A632E3">
      <w:pPr>
        <w:rPr>
          <w:color w:val="4472C4" w:themeColor="accent1"/>
        </w:rPr>
      </w:pPr>
      <w:r w:rsidRPr="009C1E67">
        <w:rPr>
          <w:color w:val="4472C4" w:themeColor="accent1"/>
        </w:rPr>
        <w:t xml:space="preserve">The quantitative relative volume as a function of </w:t>
      </w:r>
      <w:proofErr w:type="spellStart"/>
      <w:r w:rsidRPr="009C1E67">
        <w:rPr>
          <w:color w:val="4472C4" w:themeColor="accent1"/>
        </w:rPr>
        <w:t>Xe</w:t>
      </w:r>
      <w:proofErr w:type="spellEnd"/>
      <w:r w:rsidRPr="009C1E67">
        <w:rPr>
          <w:color w:val="4472C4" w:themeColor="accent1"/>
        </w:rPr>
        <w:t xml:space="preserve">/vacancy ratio will change with changes in supercell size volume, but the qualitative relationships will not vary. </w:t>
      </w:r>
      <w:r w:rsidR="00C5289E" w:rsidRPr="009C1E67">
        <w:rPr>
          <w:color w:val="4472C4" w:themeColor="accent1"/>
        </w:rPr>
        <w:t xml:space="preserve">Supercell size effects were </w:t>
      </w:r>
      <w:r w:rsidR="00C5289E" w:rsidRPr="009C1E67">
        <w:rPr>
          <w:color w:val="4472C4" w:themeColor="accent1"/>
        </w:rPr>
        <w:lastRenderedPageBreak/>
        <w:t xml:space="preserve">investigated in limited cases to ensure the qualitative relationships held. </w:t>
      </w:r>
      <w:r w:rsidRPr="009C1E67">
        <w:rPr>
          <w:color w:val="4472C4" w:themeColor="accent1"/>
        </w:rPr>
        <w:t xml:space="preserve"> </w:t>
      </w:r>
      <w:r w:rsidR="00B543B1" w:rsidRPr="009C1E67">
        <w:rPr>
          <w:color w:val="4472C4" w:themeColor="accent1"/>
        </w:rPr>
        <w:t>This information has been included in the manuscript.</w:t>
      </w: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69B6EB4C" w:rsidR="00BA6AC7" w:rsidRPr="00300E17" w:rsidRDefault="00300E17" w:rsidP="00A632E3">
      <w:pPr>
        <w:rPr>
          <w:color w:val="4472C4" w:themeColor="accent1"/>
        </w:rPr>
      </w:pPr>
      <w:r w:rsidRPr="00300E17">
        <w:rPr>
          <w:color w:val="4472C4" w:themeColor="accent1"/>
        </w:rPr>
        <w:t>Units have been added onto Fig. 6.</w:t>
      </w:r>
    </w:p>
    <w:p w14:paraId="0951451D" w14:textId="77777777" w:rsidR="00BA6AC7" w:rsidRDefault="00BA6AC7" w:rsidP="00A632E3"/>
    <w:p w14:paraId="2C24DC60" w14:textId="77777777" w:rsidR="00A632E3" w:rsidRDefault="00A632E3" w:rsidP="00A632E3">
      <w:r>
        <w:t>Consequently, this work may be published after considering the above comments. I recommend major revision for this work.</w:t>
      </w:r>
    </w:p>
    <w:p w14:paraId="1D271A2E" w14:textId="290B1333" w:rsidR="00A632E3" w:rsidRDefault="00A632E3" w:rsidP="00A632E3"/>
    <w:p w14:paraId="28EC569C" w14:textId="7CA2BDAF" w:rsidR="00A632E3" w:rsidRDefault="009E201D" w:rsidP="00A632E3">
      <w:r>
        <w:t>--------------</w:t>
      </w:r>
    </w:p>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t>Review: JNM_2019_841</w:t>
      </w:r>
    </w:p>
    <w:p w14:paraId="22C037D7" w14:textId="77777777" w:rsidR="00A632E3" w:rsidRDefault="00A632E3" w:rsidP="00A632E3"/>
    <w:p w14:paraId="432B05E3" w14:textId="77777777" w:rsidR="00A632E3" w:rsidRDefault="00A632E3" w:rsidP="00A632E3">
      <w:r>
        <w:t xml:space="preserve">An improved equation of state for </w:t>
      </w:r>
      <w:proofErr w:type="spellStart"/>
      <w:r>
        <w:t>Xe</w:t>
      </w:r>
      <w:proofErr w:type="spellEnd"/>
      <w:r>
        <w:t xml:space="preserve"> gas bubbles in gamma U-Mo fuels</w:t>
      </w:r>
    </w:p>
    <w:p w14:paraId="648DB3C3" w14:textId="77777777" w:rsidR="00A632E3" w:rsidRDefault="00A632E3" w:rsidP="00A632E3"/>
    <w:p w14:paraId="2B361D5A" w14:textId="77777777" w:rsidR="00A632E3" w:rsidRDefault="00A632E3" w:rsidP="00A632E3">
      <w:r>
        <w:t>B. Beeler et al.</w:t>
      </w:r>
    </w:p>
    <w:p w14:paraId="665105EF" w14:textId="69972B68" w:rsidR="00A632E3" w:rsidRDefault="00A632E3" w:rsidP="00A632E3"/>
    <w:p w14:paraId="4D5D80D5" w14:textId="77777777" w:rsidR="00A632E3" w:rsidRDefault="00A632E3" w:rsidP="00A632E3">
      <w:r>
        <w:t xml:space="preserve">The authors present a study on </w:t>
      </w:r>
      <w:proofErr w:type="spellStart"/>
      <w:r>
        <w:t>Xe</w:t>
      </w:r>
      <w:proofErr w:type="spellEnd"/>
      <w:r>
        <w:t xml:space="preserve"> gas bubbles in U-Mo fuels, an alloy selected to replace current highly enriched uranium fuels. The problem of </w:t>
      </w:r>
      <w:proofErr w:type="spellStart"/>
      <w:r>
        <w:t>Xe</w:t>
      </w:r>
      <w:proofErr w:type="spellEnd"/>
      <w:r>
        <w:t xml:space="preserv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6A01B6F2" w14:textId="0A53E75A" w:rsidR="00A632E3" w:rsidRDefault="00A632E3" w:rsidP="00A632E3"/>
    <w:p w14:paraId="5ED451EE" w14:textId="77777777" w:rsidR="00A632E3" w:rsidRDefault="00A632E3" w:rsidP="00A632E3"/>
    <w:p w14:paraId="12580682" w14:textId="3503ADD4" w:rsidR="00A632E3" w:rsidRDefault="00A632E3" w:rsidP="00BA6AC7">
      <w:pPr>
        <w:pStyle w:val="ListParagraph"/>
        <w:numPr>
          <w:ilvl w:val="0"/>
          <w:numId w:val="2"/>
        </w:numPr>
      </w:pPr>
      <w:r>
        <w:t>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w:t>
      </w:r>
      <w:proofErr w:type="spellStart"/>
      <w:r>
        <w:t>Xe</w:t>
      </w:r>
      <w:proofErr w:type="spellEnd"/>
      <w:r>
        <w:t xml:space="preserve"> interstitial and U-Mo surfaces)? Is there any validation against DFT calculations or experimental measurements? For instance, the propensity of </w:t>
      </w:r>
      <w:proofErr w:type="spellStart"/>
      <w:r>
        <w:t>Xe</w:t>
      </w:r>
      <w:proofErr w:type="spellEnd"/>
      <w:r>
        <w:t xml:space="preserve"> to reach a bubble rather than an interstitial site is strongly dependent on the binding energy, which thus needs to be accurately reproduced. Even if the justification for using this EAM is “that’s the best we have”, something of the sort should be stated, along with the expectation of reliability of the results.</w:t>
      </w:r>
    </w:p>
    <w:p w14:paraId="3043D308" w14:textId="2546A9E3" w:rsidR="00BA6AC7" w:rsidRDefault="00BA6AC7" w:rsidP="00BA6AC7"/>
    <w:p w14:paraId="642D42D1" w14:textId="11C831C4" w:rsidR="009C1E67" w:rsidRPr="007834FD" w:rsidRDefault="009C1E67" w:rsidP="00BA6AC7">
      <w:pPr>
        <w:rPr>
          <w:color w:val="4472C4" w:themeColor="accent1"/>
        </w:rPr>
      </w:pPr>
      <w:r w:rsidRPr="007834FD">
        <w:rPr>
          <w:color w:val="4472C4" w:themeColor="accent1"/>
        </w:rPr>
        <w:lastRenderedPageBreak/>
        <w:t>A discussion of the applicability of the potential is included</w:t>
      </w:r>
      <w:r w:rsidR="007834FD" w:rsidRPr="007834FD">
        <w:rPr>
          <w:color w:val="4472C4" w:themeColor="accent1"/>
        </w:rPr>
        <w:t xml:space="preserve"> below as well as in the manuscript.</w:t>
      </w:r>
    </w:p>
    <w:p w14:paraId="4829E97F" w14:textId="0AEF76F2" w:rsidR="007834FD" w:rsidRPr="007834FD" w:rsidRDefault="007834FD" w:rsidP="00BA6AC7">
      <w:pPr>
        <w:rPr>
          <w:color w:val="4472C4" w:themeColor="accent1"/>
        </w:rPr>
      </w:pPr>
    </w:p>
    <w:p w14:paraId="1FB2D22C" w14:textId="63CBFD98" w:rsidR="007834FD" w:rsidRPr="007834FD" w:rsidRDefault="007834FD" w:rsidP="00BA6AC7">
      <w:pPr>
        <w:rPr>
          <w:rFonts w:ascii="Calibri" w:hAnsi="Calibri" w:cs="Calibri"/>
          <w:color w:val="4472C4" w:themeColor="accent1"/>
        </w:rPr>
      </w:pPr>
      <w:r w:rsidRPr="007834FD">
        <w:rPr>
          <w:rFonts w:ascii="Calibri" w:hAnsi="Calibri" w:cs="Calibri"/>
          <w:color w:val="4472C4" w:themeColor="accent1"/>
        </w:rPr>
        <w:t>This potential is capable of describing the body-centered cubic phase of U-Mo alloys, and is presently the only potential capable of describing the U-Mo-</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ternary system. The potential is able to reproduce the stable structure, modulus of elasticity, room-temperature density and melting temperature of U–10Mo. Additionally, this potential is able to reproduce a number of properties of pure </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gas and face-centered cubic </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However, it is unknown the level of accuracy of the defect properties of </w:t>
      </w:r>
      <w:proofErr w:type="spellStart"/>
      <w:r w:rsidRPr="007834FD">
        <w:rPr>
          <w:rFonts w:ascii="Calibri" w:hAnsi="Calibri" w:cs="Calibri"/>
          <w:color w:val="4472C4" w:themeColor="accent1"/>
        </w:rPr>
        <w:t>Xe</w:t>
      </w:r>
      <w:proofErr w:type="spellEnd"/>
      <w:r w:rsidRPr="007834FD">
        <w:rPr>
          <w:rFonts w:ascii="Calibri" w:hAnsi="Calibri" w:cs="Calibri"/>
          <w:color w:val="4472C4" w:themeColor="accent1"/>
        </w:rPr>
        <w:t xml:space="preserve"> in U-Mo with this potential, as no such experimental data is available, and the inherent mechanical instability in density functional theory simulations makes such examinations untenable. The authors would recommend validation of this potential with </w:t>
      </w:r>
      <w:r w:rsidRPr="007834FD">
        <w:rPr>
          <w:rFonts w:ascii="Calibri" w:hAnsi="Calibri" w:cs="Calibri"/>
          <w:i/>
          <w:color w:val="4472C4" w:themeColor="accent1"/>
        </w:rPr>
        <w:t>ab initio</w:t>
      </w:r>
      <w:r w:rsidRPr="007834FD">
        <w:rPr>
          <w:rFonts w:ascii="Calibri" w:hAnsi="Calibri" w:cs="Calibri"/>
          <w:color w:val="4472C4" w:themeColor="accent1"/>
        </w:rPr>
        <w:t xml:space="preserve"> molecular dynamics simulations; however, such a study was beyond the scope of this project and additionally no such study of the kind has been performed.</w:t>
      </w:r>
    </w:p>
    <w:p w14:paraId="55FE640B" w14:textId="77777777" w:rsidR="00A632E3" w:rsidRDefault="00A632E3" w:rsidP="00A632E3"/>
    <w:p w14:paraId="1B50EA64" w14:textId="54541D2F" w:rsidR="00A632E3" w:rsidRDefault="00A632E3" w:rsidP="00BA6AC7">
      <w:pPr>
        <w:pStyle w:val="ListParagraph"/>
        <w:numPr>
          <w:ilvl w:val="0"/>
          <w:numId w:val="2"/>
        </w:numPr>
      </w:pPr>
      <w:r>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63ABD631" w14:textId="5F67A465" w:rsidR="0055622B" w:rsidRPr="009C1E67" w:rsidRDefault="0055622B" w:rsidP="00BA6AC7">
      <w:pPr>
        <w:rPr>
          <w:color w:val="4472C4" w:themeColor="accent1"/>
        </w:rPr>
      </w:pPr>
      <w:r w:rsidRPr="009C1E67">
        <w:rPr>
          <w:color w:val="4472C4" w:themeColor="accent1"/>
        </w:rPr>
        <w:t xml:space="preserve">Size effects were considered and larger supercell sizes were investigated to ensure no simulation artifacts were present that related to the size of the supercell. It was observed that the observable stress fields around </w:t>
      </w:r>
      <w:r w:rsidR="005E1C99" w:rsidRPr="009C1E67">
        <w:rPr>
          <w:color w:val="4472C4" w:themeColor="accent1"/>
        </w:rPr>
        <w:t>low-pressure</w:t>
      </w:r>
      <w:r w:rsidRPr="009C1E67">
        <w:rPr>
          <w:color w:val="4472C4" w:themeColor="accent1"/>
        </w:rPr>
        <w:t xml:space="preserve"> bubbles are localized to less than 10 Angstroms from the edge of the bubble</w:t>
      </w:r>
      <w:r w:rsidR="009C1E67" w:rsidRPr="009C1E67">
        <w:rPr>
          <w:color w:val="4472C4" w:themeColor="accent1"/>
        </w:rPr>
        <w:t xml:space="preserve"> for all bubbles investigated in this work. There were no observable changes in equilibrium bubble properties, such as energy and pressure, with changes in supercell size. A comment on analyzing different size supercells has been added to the computational details section.</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065CDBD1" w14:textId="5D83BC70" w:rsidR="00A632E3" w:rsidRPr="0055622B" w:rsidRDefault="0055622B" w:rsidP="00A632E3">
      <w:pPr>
        <w:rPr>
          <w:color w:val="4472C4" w:themeColor="accent1"/>
        </w:rPr>
      </w:pPr>
      <w:r>
        <w:rPr>
          <w:color w:val="4472C4" w:themeColor="accent1"/>
        </w:rPr>
        <w:t xml:space="preserve">We apologize for the mistake and the caption has been inserted. </w:t>
      </w:r>
    </w:p>
    <w:p w14:paraId="6E0D1033" w14:textId="77777777" w:rsidR="0055622B" w:rsidRDefault="0055622B" w:rsidP="00A632E3"/>
    <w:p w14:paraId="3369947A" w14:textId="53227102" w:rsidR="00A632E3" w:rsidRDefault="00A632E3" w:rsidP="00BA6AC7">
      <w:pPr>
        <w:pStyle w:val="ListParagraph"/>
        <w:numPr>
          <w:ilvl w:val="0"/>
          <w:numId w:val="2"/>
        </w:numPr>
      </w:pPr>
      <w:r>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2F069BF2" w:rsidR="00BA6AC7" w:rsidRDefault="00BA6AC7" w:rsidP="00BA6AC7"/>
    <w:p w14:paraId="2B995155" w14:textId="5726297C" w:rsidR="00715038" w:rsidRPr="00715038" w:rsidRDefault="00715038" w:rsidP="00BA6AC7">
      <w:pPr>
        <w:rPr>
          <w:color w:val="4472C4" w:themeColor="accent1"/>
        </w:rPr>
      </w:pPr>
      <w:r w:rsidRPr="00715038">
        <w:rPr>
          <w:color w:val="4472C4" w:themeColor="accent1"/>
        </w:rPr>
        <w:t>We thank the referee for encouraging additional discussion. The scope of th</w:t>
      </w:r>
      <w:r w:rsidR="009E201D">
        <w:rPr>
          <w:color w:val="4472C4" w:themeColor="accent1"/>
        </w:rPr>
        <w:t>e</w:t>
      </w:r>
      <w:r w:rsidRPr="00715038">
        <w:rPr>
          <w:color w:val="4472C4" w:themeColor="accent1"/>
        </w:rPr>
        <w:t xml:space="preserve"> work</w:t>
      </w:r>
      <w:r w:rsidR="009E201D">
        <w:rPr>
          <w:color w:val="4472C4" w:themeColor="accent1"/>
        </w:rPr>
        <w:t xml:space="preserve"> from Hu</w:t>
      </w:r>
      <w:r w:rsidRPr="00715038">
        <w:rPr>
          <w:color w:val="4472C4" w:themeColor="accent1"/>
        </w:rPr>
        <w:t xml:space="preserve"> was mentioned in the introduction, but it has now been reiterated in the results section to ensure the reader can </w:t>
      </w:r>
      <w:r w:rsidR="009E201D">
        <w:rPr>
          <w:color w:val="4472C4" w:themeColor="accent1"/>
        </w:rPr>
        <w:t xml:space="preserve">readily </w:t>
      </w:r>
      <w:r w:rsidRPr="00715038">
        <w:rPr>
          <w:color w:val="4472C4" w:themeColor="accent1"/>
        </w:rPr>
        <w:t>make</w:t>
      </w:r>
      <w:r w:rsidR="009E201D">
        <w:rPr>
          <w:color w:val="4472C4" w:themeColor="accent1"/>
        </w:rPr>
        <w:t xml:space="preserve"> </w:t>
      </w:r>
      <w:r w:rsidRPr="00715038">
        <w:rPr>
          <w:color w:val="4472C4" w:themeColor="accent1"/>
        </w:rPr>
        <w:t>the comparisons between the two works.</w:t>
      </w:r>
    </w:p>
    <w:p w14:paraId="7471E4F5" w14:textId="77777777" w:rsidR="00A632E3" w:rsidRDefault="00A632E3" w:rsidP="00A632E3"/>
    <w:p w14:paraId="506986A3" w14:textId="1CDD8E2F" w:rsidR="00A632E3" w:rsidRDefault="00BA6AC7" w:rsidP="00BA6AC7">
      <w:pPr>
        <w:pStyle w:val="ListParagraph"/>
        <w:numPr>
          <w:ilvl w:val="0"/>
          <w:numId w:val="2"/>
        </w:numPr>
      </w:pPr>
      <w:r>
        <w:t>P</w:t>
      </w:r>
      <w:r w:rsidR="00A632E3">
        <w:t>age 3, lines 56-57: “Temperatures of interest are (…), which span the realistic operating temperatures of U-Mo fuels”. Citation?</w:t>
      </w:r>
    </w:p>
    <w:p w14:paraId="420A369A" w14:textId="0C0E1BAE" w:rsidR="00BA6AC7" w:rsidRDefault="00BA6AC7" w:rsidP="00BA6AC7"/>
    <w:p w14:paraId="7B5EE9F6" w14:textId="7D6D43CE" w:rsidR="00A632E3" w:rsidRPr="00C54024" w:rsidRDefault="00C54024" w:rsidP="00A632E3">
      <w:pPr>
        <w:rPr>
          <w:color w:val="4472C4" w:themeColor="accent1"/>
        </w:rPr>
      </w:pPr>
      <w:r>
        <w:rPr>
          <w:color w:val="4472C4" w:themeColor="accent1"/>
        </w:rPr>
        <w:t xml:space="preserve">We thank the referee for the comment, </w:t>
      </w:r>
      <w:r w:rsidR="0008587D">
        <w:rPr>
          <w:color w:val="4472C4" w:themeColor="accent1"/>
        </w:rPr>
        <w:t xml:space="preserve">and </w:t>
      </w:r>
      <w:r>
        <w:rPr>
          <w:color w:val="4472C4" w:themeColor="accent1"/>
        </w:rPr>
        <w:t xml:space="preserve">a citation has been provided. </w:t>
      </w:r>
    </w:p>
    <w:p w14:paraId="47A55055" w14:textId="77777777" w:rsidR="00C54024" w:rsidRDefault="00C54024"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077991F" w14:textId="77777777" w:rsidR="004B29CD" w:rsidRDefault="004B29CD" w:rsidP="00BA6AC7"/>
    <w:p w14:paraId="7559FC1C" w14:textId="784896CC" w:rsidR="007439DC" w:rsidRPr="000A54BE" w:rsidRDefault="0055622B" w:rsidP="00BA6AC7">
      <w:pPr>
        <w:rPr>
          <w:color w:val="4472C4" w:themeColor="accent1"/>
        </w:rPr>
      </w:pPr>
      <w:r w:rsidRPr="000A54BE">
        <w:rPr>
          <w:color w:val="4472C4" w:themeColor="accent1"/>
        </w:rPr>
        <w:t xml:space="preserve">This relates to the nature of the X-axis, in that it is </w:t>
      </w:r>
      <w:proofErr w:type="spellStart"/>
      <w:r w:rsidRPr="000A54BE">
        <w:rPr>
          <w:color w:val="4472C4" w:themeColor="accent1"/>
        </w:rPr>
        <w:t>Xe</w:t>
      </w:r>
      <w:proofErr w:type="spellEnd"/>
      <w:r w:rsidRPr="000A54BE">
        <w:rPr>
          <w:color w:val="4472C4" w:themeColor="accent1"/>
        </w:rPr>
        <w:t>/</w:t>
      </w:r>
      <w:proofErr w:type="spellStart"/>
      <w:r w:rsidRPr="000A54BE">
        <w:rPr>
          <w:color w:val="4472C4" w:themeColor="accent1"/>
        </w:rPr>
        <w:t>vac</w:t>
      </w:r>
      <w:proofErr w:type="spellEnd"/>
      <w:r w:rsidRPr="000A54BE">
        <w:rPr>
          <w:color w:val="4472C4" w:themeColor="accent1"/>
        </w:rPr>
        <w:t xml:space="preserve"> ratio. </w:t>
      </w:r>
      <w:r w:rsidR="007439DC" w:rsidRPr="000A54BE">
        <w:rPr>
          <w:color w:val="4472C4" w:themeColor="accent1"/>
        </w:rPr>
        <w:t xml:space="preserve">Comparing the relative bubble energy as a function of the </w:t>
      </w:r>
      <w:r w:rsidR="007439DC" w:rsidRPr="000A54BE">
        <w:rPr>
          <w:b/>
          <w:color w:val="4472C4" w:themeColor="accent1"/>
        </w:rPr>
        <w:t>total</w:t>
      </w:r>
      <w:r w:rsidR="007439DC" w:rsidRPr="000A54BE">
        <w:rPr>
          <w:color w:val="4472C4" w:themeColor="accent1"/>
        </w:rPr>
        <w:t xml:space="preserve"> number of </w:t>
      </w:r>
      <w:proofErr w:type="spellStart"/>
      <w:r w:rsidR="007439DC" w:rsidRPr="000A54BE">
        <w:rPr>
          <w:color w:val="4472C4" w:themeColor="accent1"/>
        </w:rPr>
        <w:t>Xe</w:t>
      </w:r>
      <w:proofErr w:type="spellEnd"/>
      <w:r w:rsidR="007439DC" w:rsidRPr="000A54BE">
        <w:rPr>
          <w:color w:val="4472C4" w:themeColor="accent1"/>
        </w:rPr>
        <w:t xml:space="preserve"> shows that each bubble size, at </w:t>
      </w:r>
      <w:r w:rsidR="000A54BE" w:rsidRPr="000A54BE">
        <w:rPr>
          <w:color w:val="4472C4" w:themeColor="accent1"/>
        </w:rPr>
        <w:t xml:space="preserve">high </w:t>
      </w:r>
      <w:proofErr w:type="spellStart"/>
      <w:r w:rsidR="000A54BE" w:rsidRPr="000A54BE">
        <w:rPr>
          <w:color w:val="4472C4" w:themeColor="accent1"/>
        </w:rPr>
        <w:t>Xe</w:t>
      </w:r>
      <w:proofErr w:type="spellEnd"/>
      <w:r w:rsidR="007439DC" w:rsidRPr="000A54BE">
        <w:rPr>
          <w:color w:val="4472C4" w:themeColor="accent1"/>
        </w:rPr>
        <w:t xml:space="preserve"> densities, exhibits a linear trend with increasing </w:t>
      </w:r>
      <w:proofErr w:type="spellStart"/>
      <w:r w:rsidR="007439DC" w:rsidRPr="000A54BE">
        <w:rPr>
          <w:color w:val="4472C4" w:themeColor="accent1"/>
        </w:rPr>
        <w:t>Xe</w:t>
      </w:r>
      <w:proofErr w:type="spellEnd"/>
      <w:r w:rsidR="007439DC" w:rsidRPr="000A54BE">
        <w:rPr>
          <w:color w:val="4472C4" w:themeColor="accent1"/>
        </w:rPr>
        <w:t xml:space="preserve"> atoms, the slope of which is effectively identical</w:t>
      </w:r>
      <w:r w:rsidR="000A54BE" w:rsidRPr="000A54BE">
        <w:rPr>
          <w:color w:val="4472C4" w:themeColor="accent1"/>
        </w:rPr>
        <w:t xml:space="preserve"> for each bubble size</w:t>
      </w:r>
      <w:r w:rsidR="007439DC" w:rsidRPr="000A54BE">
        <w:rPr>
          <w:color w:val="4472C4" w:themeColor="accent1"/>
        </w:rPr>
        <w:t xml:space="preserve">. </w:t>
      </w:r>
      <w:r w:rsidR="009E201D">
        <w:rPr>
          <w:color w:val="4472C4" w:themeColor="accent1"/>
        </w:rPr>
        <w:t>If we</w:t>
      </w:r>
      <w:r w:rsidR="007439DC" w:rsidRPr="000A54BE">
        <w:rPr>
          <w:color w:val="4472C4" w:themeColor="accent1"/>
        </w:rPr>
        <w:t xml:space="preserve"> compar</w:t>
      </w:r>
      <w:r w:rsidR="009E201D">
        <w:rPr>
          <w:color w:val="4472C4" w:themeColor="accent1"/>
        </w:rPr>
        <w:t>e</w:t>
      </w:r>
      <w:r w:rsidR="007439DC" w:rsidRPr="000A54BE">
        <w:rPr>
          <w:color w:val="4472C4" w:themeColor="accent1"/>
        </w:rPr>
        <w:t xml:space="preserve"> </w:t>
      </w:r>
      <w:proofErr w:type="spellStart"/>
      <w:r w:rsidR="007439DC" w:rsidRPr="000A54BE">
        <w:rPr>
          <w:color w:val="4472C4" w:themeColor="accent1"/>
        </w:rPr>
        <w:t>Xe</w:t>
      </w:r>
      <w:proofErr w:type="spellEnd"/>
      <w:r w:rsidR="007439DC" w:rsidRPr="000A54BE">
        <w:rPr>
          <w:color w:val="4472C4" w:themeColor="accent1"/>
        </w:rPr>
        <w:t>/</w:t>
      </w:r>
      <w:proofErr w:type="spellStart"/>
      <w:r w:rsidR="007439DC" w:rsidRPr="000A54BE">
        <w:rPr>
          <w:color w:val="4472C4" w:themeColor="accent1"/>
        </w:rPr>
        <w:t>vac</w:t>
      </w:r>
      <w:proofErr w:type="spellEnd"/>
      <w:r w:rsidR="007439DC" w:rsidRPr="000A54BE">
        <w:rPr>
          <w:color w:val="4472C4" w:themeColor="accent1"/>
        </w:rPr>
        <w:t xml:space="preserve"> ratio against </w:t>
      </w:r>
      <w:proofErr w:type="spellStart"/>
      <w:r w:rsidR="007439DC" w:rsidRPr="000A54BE">
        <w:rPr>
          <w:color w:val="4472C4" w:themeColor="accent1"/>
        </w:rPr>
        <w:t>Xe</w:t>
      </w:r>
      <w:proofErr w:type="spellEnd"/>
      <w:r w:rsidR="007439DC" w:rsidRPr="000A54BE">
        <w:rPr>
          <w:color w:val="4472C4" w:themeColor="accent1"/>
        </w:rPr>
        <w:t xml:space="preserve"> pressure</w:t>
      </w:r>
      <w:r w:rsidR="009E201D">
        <w:rPr>
          <w:color w:val="4472C4" w:themeColor="accent1"/>
        </w:rPr>
        <w:t>, we see</w:t>
      </w:r>
      <w:r w:rsidR="007439DC" w:rsidRPr="000A54BE">
        <w:rPr>
          <w:color w:val="4472C4" w:themeColor="accent1"/>
        </w:rPr>
        <w:t xml:space="preserve"> nearly identical curves for each bubble size. Additionally, comparing binding energy of the nth </w:t>
      </w:r>
      <w:proofErr w:type="spellStart"/>
      <w:r w:rsidR="007439DC" w:rsidRPr="000A54BE">
        <w:rPr>
          <w:color w:val="4472C4" w:themeColor="accent1"/>
        </w:rPr>
        <w:t>Xe</w:t>
      </w:r>
      <w:proofErr w:type="spellEnd"/>
      <w:r w:rsidR="007439DC" w:rsidRPr="000A54BE">
        <w:rPr>
          <w:color w:val="4472C4" w:themeColor="accent1"/>
        </w:rPr>
        <w:t xml:space="preserve"> atom shows no differences related to bubble size.</w:t>
      </w:r>
      <w:r w:rsidR="009E201D">
        <w:rPr>
          <w:color w:val="4472C4" w:themeColor="accent1"/>
        </w:rPr>
        <w:t xml:space="preserve"> </w:t>
      </w:r>
      <w:bookmarkStart w:id="0" w:name="_GoBack"/>
      <w:bookmarkEnd w:id="0"/>
    </w:p>
    <w:p w14:paraId="151A3362" w14:textId="77777777" w:rsidR="007439DC" w:rsidRDefault="007439DC" w:rsidP="00BA6AC7">
      <w:pPr>
        <w:rPr>
          <w:color w:val="FF0000"/>
        </w:rPr>
      </w:pPr>
    </w:p>
    <w:p w14:paraId="2799E2C7" w14:textId="6059F76C" w:rsidR="00BA6AC7" w:rsidRPr="00BA6AC7" w:rsidRDefault="00BA6AC7" w:rsidP="00BA6AC7">
      <w:pPr>
        <w:rPr>
          <w:color w:val="FF0000"/>
        </w:rPr>
      </w:pPr>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08587D"/>
    <w:rsid w:val="000A54BE"/>
    <w:rsid w:val="002C553F"/>
    <w:rsid w:val="002F58F4"/>
    <w:rsid w:val="00300E17"/>
    <w:rsid w:val="00414247"/>
    <w:rsid w:val="004B29CD"/>
    <w:rsid w:val="0055622B"/>
    <w:rsid w:val="005E1C99"/>
    <w:rsid w:val="005F14B5"/>
    <w:rsid w:val="00627B41"/>
    <w:rsid w:val="00715038"/>
    <w:rsid w:val="007439DC"/>
    <w:rsid w:val="007834FD"/>
    <w:rsid w:val="007D423B"/>
    <w:rsid w:val="00820AAC"/>
    <w:rsid w:val="008B0B20"/>
    <w:rsid w:val="009643B9"/>
    <w:rsid w:val="009873C7"/>
    <w:rsid w:val="009C1E67"/>
    <w:rsid w:val="009C374F"/>
    <w:rsid w:val="009E201D"/>
    <w:rsid w:val="00A632E3"/>
    <w:rsid w:val="00B543B1"/>
    <w:rsid w:val="00B7161F"/>
    <w:rsid w:val="00BA6AC7"/>
    <w:rsid w:val="00C24063"/>
    <w:rsid w:val="00C26328"/>
    <w:rsid w:val="00C5289E"/>
    <w:rsid w:val="00C54024"/>
    <w:rsid w:val="00D3033A"/>
    <w:rsid w:val="00EB3C98"/>
    <w:rsid w:val="00F7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Beeler</cp:lastModifiedBy>
  <cp:revision>23</cp:revision>
  <dcterms:created xsi:type="dcterms:W3CDTF">2019-10-22T16:54:00Z</dcterms:created>
  <dcterms:modified xsi:type="dcterms:W3CDTF">2019-11-20T18:19:00Z</dcterms:modified>
</cp:coreProperties>
</file>