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We sincerely thank the Editor and Reviewers for their constructive comments and suggestions. We have revised the manuscript accordingly. Below we provide point-by-point responses and explicitly indicate where edits were made.</w:t>
      </w:r>
    </w:p>
    <w:p w14:paraId="00000002"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03"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Editorial requirements:</w:t>
      </w:r>
    </w:p>
    <w:p w14:paraId="00000004" w14:textId="77777777" w:rsidR="00FF5F56" w:rsidRDefault="00FF5F56">
      <w:pPr>
        <w:shd w:val="clear" w:color="auto" w:fill="FFFFFF"/>
        <w:jc w:val="both"/>
        <w:rPr>
          <w:rFonts w:ascii="Times New Roman" w:eastAsia="Times New Roman" w:hAnsi="Times New Roman" w:cs="Times New Roman"/>
          <w:sz w:val="20"/>
          <w:szCs w:val="20"/>
        </w:rPr>
      </w:pPr>
    </w:p>
    <w:p w14:paraId="00000005" w14:textId="77777777" w:rsidR="00FF5F56" w:rsidRDefault="00000000">
      <w:pPr>
        <w:shd w:val="clear" w:color="auto" w:fill="FFFFFF"/>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 Manuscript and Figure Source Files (mandatory)</w:t>
      </w:r>
    </w:p>
    <w:p w14:paraId="00000006" w14:textId="77777777" w:rsidR="00FF5F56" w:rsidRDefault="00FF5F56">
      <w:pPr>
        <w:shd w:val="clear" w:color="auto" w:fill="FFFFFF"/>
        <w:jc w:val="both"/>
        <w:rPr>
          <w:rFonts w:ascii="Times New Roman" w:eastAsia="Times New Roman" w:hAnsi="Times New Roman" w:cs="Times New Roman"/>
          <w:sz w:val="20"/>
          <w:szCs w:val="20"/>
        </w:rPr>
      </w:pPr>
    </w:p>
    <w:p w14:paraId="00000007" w14:textId="77777777" w:rsidR="00FF5F56" w:rsidRDefault="00000000">
      <w:pPr>
        <w:shd w:val="clear" w:color="auto" w:fill="FFFFFF"/>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Manuscript and figure source files are included during submission.</w:t>
      </w:r>
    </w:p>
    <w:p w14:paraId="00000008"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09"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2. Highlights (not mandatory if Graphical Abstract submitted)</w:t>
      </w:r>
    </w:p>
    <w:p w14:paraId="0000000A"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0B"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The following Highlights have been added:</w:t>
      </w:r>
    </w:p>
    <w:p w14:paraId="0000000C" w14:textId="77777777" w:rsidR="00FF5F56" w:rsidRDefault="00000000">
      <w:pPr>
        <w:numPr>
          <w:ilvl w:val="0"/>
          <w:numId w:val="1"/>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MD simulations reveal nitrogen Frenkel-pair formation in UN above 1800 K</w:t>
      </w:r>
    </w:p>
    <w:p w14:paraId="0000000D" w14:textId="77777777" w:rsidR="00FF5F56" w:rsidRDefault="00000000">
      <w:pPr>
        <w:numPr>
          <w:ilvl w:val="0"/>
          <w:numId w:val="1"/>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Defect heat capacity reaches ~10 J/(</w:t>
      </w:r>
      <w:proofErr w:type="spellStart"/>
      <w:r>
        <w:rPr>
          <w:rFonts w:ascii="Times New Roman" w:eastAsia="Times New Roman" w:hAnsi="Times New Roman" w:cs="Times New Roman"/>
          <w:color w:val="222222"/>
          <w:sz w:val="20"/>
          <w:szCs w:val="20"/>
        </w:rPr>
        <w:t>mol·K</w:t>
      </w:r>
      <w:proofErr w:type="spellEnd"/>
      <w:r>
        <w:rPr>
          <w:rFonts w:ascii="Times New Roman" w:eastAsia="Times New Roman" w:hAnsi="Times New Roman" w:cs="Times New Roman"/>
          <w:color w:val="222222"/>
          <w:sz w:val="20"/>
          <w:szCs w:val="20"/>
        </w:rPr>
        <w:t xml:space="preserve">) at 2600 K for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potential</w:t>
      </w:r>
    </w:p>
    <w:p w14:paraId="0000000E" w14:textId="77777777" w:rsidR="00FF5F56" w:rsidRDefault="00000000">
      <w:pPr>
        <w:numPr>
          <w:ilvl w:val="0"/>
          <w:numId w:val="1"/>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Anion sublattice disorder is proposed as a mechanism for </w:t>
      </w:r>
      <w:proofErr w:type="spellStart"/>
      <w:r>
        <w:rPr>
          <w:rFonts w:ascii="Times New Roman" w:eastAsia="Times New Roman" w:hAnsi="Times New Roman" w:cs="Times New Roman"/>
          <w:color w:val="222222"/>
          <w:sz w:val="20"/>
          <w:szCs w:val="20"/>
        </w:rPr>
        <w:t>superlinear</w:t>
      </w:r>
      <w:proofErr w:type="spellEnd"/>
      <w:r>
        <w:rPr>
          <w:rFonts w:ascii="Times New Roman" w:eastAsia="Times New Roman" w:hAnsi="Times New Roman" w:cs="Times New Roman"/>
          <w:color w:val="222222"/>
          <w:sz w:val="20"/>
          <w:szCs w:val="20"/>
        </w:rPr>
        <w:t xml:space="preserve"> </w:t>
      </w:r>
      <w:r>
        <w:rPr>
          <w:rFonts w:ascii="Times New Roman" w:eastAsia="Times New Roman" w:hAnsi="Times New Roman" w:cs="Times New Roman"/>
          <w:i/>
          <w:iCs/>
          <w:color w:val="222222"/>
          <w:sz w:val="20"/>
          <w:szCs w:val="20"/>
        </w:rPr>
        <w:t>C</w:t>
      </w:r>
      <w:r>
        <w:rPr>
          <w:rFonts w:ascii="Times New Roman" w:eastAsia="Times New Roman" w:hAnsi="Times New Roman" w:cs="Times New Roman"/>
          <w:i/>
          <w:iCs/>
          <w:color w:val="222222"/>
          <w:sz w:val="20"/>
          <w:szCs w:val="20"/>
          <w:vertAlign w:val="subscript"/>
        </w:rPr>
        <w:t>P</w:t>
      </w:r>
      <w:r>
        <w:rPr>
          <w:rFonts w:ascii="Times New Roman" w:eastAsia="Times New Roman" w:hAnsi="Times New Roman" w:cs="Times New Roman"/>
          <w:color w:val="222222"/>
          <w:sz w:val="20"/>
          <w:szCs w:val="20"/>
        </w:rPr>
        <w:t>(</w:t>
      </w:r>
      <w:r>
        <w:rPr>
          <w:rFonts w:ascii="Times New Roman" w:eastAsia="Times New Roman" w:hAnsi="Times New Roman" w:cs="Times New Roman"/>
          <w:i/>
          <w:iCs/>
          <w:color w:val="222222"/>
          <w:sz w:val="20"/>
          <w:szCs w:val="20"/>
        </w:rPr>
        <w:t>T</w:t>
      </w:r>
      <w:r>
        <w:rPr>
          <w:rFonts w:ascii="Times New Roman" w:eastAsia="Times New Roman" w:hAnsi="Times New Roman" w:cs="Times New Roman"/>
          <w:color w:val="222222"/>
          <w:sz w:val="20"/>
          <w:szCs w:val="20"/>
        </w:rPr>
        <w:t>)</w:t>
      </w:r>
    </w:p>
    <w:p w14:paraId="0000000F"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4BB2C54C" w14:textId="77777777" w:rsidR="005624F5"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3. Graphical Abstract (mandatory)</w:t>
      </w:r>
    </w:p>
    <w:p w14:paraId="325241BA" w14:textId="77777777" w:rsidR="005624F5"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br/>
        <w:t>A graphical abstract has been added.</w:t>
      </w:r>
    </w:p>
    <w:p w14:paraId="00000011" w14:textId="18B042C8"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color w:val="222222"/>
          <w:sz w:val="20"/>
          <w:szCs w:val="20"/>
        </w:rPr>
        <w:br/>
      </w:r>
      <w:r>
        <w:rPr>
          <w:rFonts w:ascii="Times New Roman" w:eastAsia="Times New Roman" w:hAnsi="Times New Roman" w:cs="Times New Roman"/>
          <w:b/>
          <w:bCs/>
          <w:color w:val="222222"/>
          <w:sz w:val="20"/>
          <w:szCs w:val="20"/>
        </w:rPr>
        <w:t>Reviewer #1:</w:t>
      </w:r>
    </w:p>
    <w:p w14:paraId="00000012"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13"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Recommendation: Minor Revision</w:t>
      </w:r>
    </w:p>
    <w:p w14:paraId="00000014"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15"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 xml:space="preserve">Overall Evaluation: This paper addresses the long-standing uncertainty in the high-temperature heat capacity of uranium mononitride (UN). The authors use large-scale molecular dynamics (MD) to demonstrate that nitrogen Frenkel-pair formation is a plausible intrinsic mechanism for the </w:t>
      </w:r>
      <w:proofErr w:type="spellStart"/>
      <w:r>
        <w:rPr>
          <w:rFonts w:ascii="Times New Roman" w:eastAsia="Times New Roman" w:hAnsi="Times New Roman" w:cs="Times New Roman"/>
          <w:b/>
          <w:bCs/>
          <w:color w:val="222222"/>
          <w:sz w:val="20"/>
          <w:szCs w:val="20"/>
        </w:rPr>
        <w:t>superlinear</w:t>
      </w:r>
      <w:proofErr w:type="spellEnd"/>
      <w:r>
        <w:rPr>
          <w:rFonts w:ascii="Times New Roman" w:eastAsia="Times New Roman" w:hAnsi="Times New Roman" w:cs="Times New Roman"/>
          <w:b/>
          <w:bCs/>
          <w:color w:val="222222"/>
          <w:sz w:val="20"/>
          <w:szCs w:val="20"/>
        </w:rPr>
        <w:t xml:space="preserve"> increase in </w:t>
      </w:r>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i/>
          <w:iCs/>
          <w:color w:val="222222"/>
          <w:sz w:val="20"/>
          <w:szCs w:val="20"/>
          <w:vertAlign w:val="subscript"/>
        </w:rPr>
        <w:t>P</w:t>
      </w:r>
      <w:r>
        <w:rPr>
          <w:rFonts w:ascii="Times New Roman" w:eastAsia="Times New Roman" w:hAnsi="Times New Roman" w:cs="Times New Roman"/>
          <w:b/>
          <w:bCs/>
          <w:color w:val="222222"/>
          <w:sz w:val="20"/>
          <w:szCs w:val="20"/>
        </w:rPr>
        <w:t xml:space="preserve"> observed at temperatures above 1700 K. By comparing the </w:t>
      </w:r>
      <w:proofErr w:type="spellStart"/>
      <w:r>
        <w:rPr>
          <w:rFonts w:ascii="Times New Roman" w:eastAsia="Times New Roman" w:hAnsi="Times New Roman" w:cs="Times New Roman"/>
          <w:b/>
          <w:bCs/>
          <w:color w:val="222222"/>
          <w:sz w:val="20"/>
          <w:szCs w:val="20"/>
        </w:rPr>
        <w:t>Tseplyaev</w:t>
      </w:r>
      <w:proofErr w:type="spellEnd"/>
      <w:r>
        <w:rPr>
          <w:rFonts w:ascii="Times New Roman" w:eastAsia="Times New Roman" w:hAnsi="Times New Roman" w:cs="Times New Roman"/>
          <w:b/>
          <w:bCs/>
          <w:color w:val="222222"/>
          <w:sz w:val="20"/>
          <w:szCs w:val="20"/>
        </w:rPr>
        <w:t xml:space="preserve"> ADP and Kocevski EAM potentials, the study provides a clear atomistic explanation for why previous modeling efforts reached diverging conclusions. The manuscript is well-written and offers valuable insights for the nuclear materials community. However, a few technical clarifications regarding the “logical circularity” of the experimental benchmarks and the noise-filtering in defect analysis are required before publication (see below).</w:t>
      </w:r>
    </w:p>
    <w:p w14:paraId="00000016"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17"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1. In the Introduction, the authors suggest that the Hayes correlation might be extrinsically influenced by UO</w:t>
      </w:r>
      <w:r>
        <w:rPr>
          <w:rFonts w:ascii="Times New Roman" w:eastAsia="Times New Roman" w:hAnsi="Times New Roman" w:cs="Times New Roman"/>
          <w:b/>
          <w:bCs/>
          <w:color w:val="222222"/>
          <w:sz w:val="20"/>
          <w:szCs w:val="20"/>
          <w:vertAlign w:val="subscript"/>
        </w:rPr>
        <w:t>2</w:t>
      </w:r>
      <w:r>
        <w:rPr>
          <w:rFonts w:ascii="Times New Roman" w:eastAsia="Times New Roman" w:hAnsi="Times New Roman" w:cs="Times New Roman"/>
          <w:b/>
          <w:bCs/>
          <w:color w:val="222222"/>
          <w:sz w:val="20"/>
          <w:szCs w:val="20"/>
        </w:rPr>
        <w:t xml:space="preserve"> impurities in historical Conway-Flagella samples. However, in the Results, the </w:t>
      </w:r>
      <w:proofErr w:type="spellStart"/>
      <w:r>
        <w:rPr>
          <w:rFonts w:ascii="Times New Roman" w:eastAsia="Times New Roman" w:hAnsi="Times New Roman" w:cs="Times New Roman"/>
          <w:b/>
          <w:bCs/>
          <w:color w:val="222222"/>
          <w:sz w:val="20"/>
          <w:szCs w:val="20"/>
        </w:rPr>
        <w:t>Tseplyaev</w:t>
      </w:r>
      <w:proofErr w:type="spellEnd"/>
      <w:r>
        <w:rPr>
          <w:rFonts w:ascii="Times New Roman" w:eastAsia="Times New Roman" w:hAnsi="Times New Roman" w:cs="Times New Roman"/>
          <w:b/>
          <w:bCs/>
          <w:color w:val="222222"/>
          <w:sz w:val="20"/>
          <w:szCs w:val="20"/>
        </w:rPr>
        <w:t xml:space="preserve"> potential is praised for reproducing this exact “</w:t>
      </w:r>
      <w:proofErr w:type="spellStart"/>
      <w:r>
        <w:rPr>
          <w:rFonts w:ascii="Times New Roman" w:eastAsia="Times New Roman" w:hAnsi="Times New Roman" w:cs="Times New Roman"/>
          <w:b/>
          <w:bCs/>
          <w:color w:val="222222"/>
          <w:sz w:val="20"/>
          <w:szCs w:val="20"/>
        </w:rPr>
        <w:t>superlinear</w:t>
      </w:r>
      <w:proofErr w:type="spellEnd"/>
      <w:r>
        <w:rPr>
          <w:rFonts w:ascii="Times New Roman" w:eastAsia="Times New Roman" w:hAnsi="Times New Roman" w:cs="Times New Roman"/>
          <w:b/>
          <w:bCs/>
          <w:color w:val="222222"/>
          <w:sz w:val="20"/>
          <w:szCs w:val="20"/>
        </w:rPr>
        <w:t>” curvature. There is a potential logical circularity here: if the Hayes correlation is indeed “polluted” by UO</w:t>
      </w:r>
      <w:r>
        <w:rPr>
          <w:rFonts w:ascii="Times New Roman" w:eastAsia="Times New Roman" w:hAnsi="Times New Roman" w:cs="Times New Roman"/>
          <w:b/>
          <w:bCs/>
          <w:color w:val="222222"/>
          <w:sz w:val="20"/>
          <w:szCs w:val="20"/>
          <w:vertAlign w:val="subscript"/>
        </w:rPr>
        <w:t>2</w:t>
      </w:r>
      <w:r>
        <w:rPr>
          <w:rFonts w:ascii="Times New Roman" w:eastAsia="Times New Roman" w:hAnsi="Times New Roman" w:cs="Times New Roman"/>
          <w:b/>
          <w:bCs/>
          <w:color w:val="222222"/>
          <w:sz w:val="20"/>
          <w:szCs w:val="20"/>
        </w:rPr>
        <w:t xml:space="preserve">, a potential that matches it perfectly might be over-predicting the intrinsic defect concentration of UN. Please provide a more critical discussion on whether the Hayes correlation remains the ideal benchmark or if the more moderate </w:t>
      </w:r>
      <w:r>
        <w:rPr>
          <w:rFonts w:ascii="Times New Roman" w:eastAsia="Times New Roman" w:hAnsi="Times New Roman" w:cs="Times New Roman"/>
          <w:b/>
          <w:bCs/>
          <w:i/>
          <w:iCs/>
          <w:color w:val="222222"/>
          <w:sz w:val="20"/>
          <w:szCs w:val="20"/>
        </w:rPr>
        <w:t>T</w:t>
      </w:r>
      <w:r>
        <w:rPr>
          <w:rFonts w:ascii="Times New Roman" w:eastAsia="Times New Roman" w:hAnsi="Times New Roman" w:cs="Times New Roman"/>
          <w:b/>
          <w:bCs/>
          <w:color w:val="222222"/>
          <w:sz w:val="20"/>
          <w:szCs w:val="20"/>
          <w:vertAlign w:val="superscript"/>
        </w:rPr>
        <w:t>2</w:t>
      </w:r>
      <w:r>
        <w:rPr>
          <w:rFonts w:ascii="Times New Roman" w:eastAsia="Times New Roman" w:hAnsi="Times New Roman" w:cs="Times New Roman"/>
          <w:b/>
          <w:bCs/>
          <w:color w:val="222222"/>
          <w:sz w:val="20"/>
          <w:szCs w:val="20"/>
        </w:rPr>
        <w:t xml:space="preserve"> rise from recent AIMD+DLM results is a more representative target for intrinsic UN behavior.</w:t>
      </w:r>
    </w:p>
    <w:p w14:paraId="00000018"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19"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We agree this is a valid and incisive concern. In the revision, we explicitly resolve the apparent circularity by (i) framing agreement with the Hayes correlation as </w:t>
      </w:r>
      <w:r>
        <w:rPr>
          <w:rFonts w:ascii="Times New Roman" w:eastAsia="Times New Roman" w:hAnsi="Times New Roman" w:cs="Times New Roman"/>
          <w:i/>
          <w:iCs/>
          <w:color w:val="222222"/>
          <w:sz w:val="20"/>
          <w:szCs w:val="20"/>
        </w:rPr>
        <w:t>mechanistic consistency</w:t>
      </w:r>
      <w:r>
        <w:rPr>
          <w:rFonts w:ascii="Times New Roman" w:eastAsia="Times New Roman" w:hAnsi="Times New Roman" w:cs="Times New Roman"/>
          <w:color w:val="222222"/>
          <w:sz w:val="20"/>
          <w:szCs w:val="20"/>
        </w:rPr>
        <w:t xml:space="preserve"> rather than a unique validation of intrinsic UN behavior, and (ii) elevating the AIMD+DLM T</w:t>
      </w:r>
      <w:r>
        <w:rPr>
          <w:rFonts w:ascii="Times New Roman" w:eastAsia="Times New Roman" w:hAnsi="Times New Roman" w:cs="Times New Roman"/>
          <w:color w:val="222222"/>
          <w:sz w:val="20"/>
          <w:szCs w:val="20"/>
          <w:vertAlign w:val="superscript"/>
        </w:rPr>
        <w:t>2</w:t>
      </w:r>
      <w:r>
        <w:rPr>
          <w:rFonts w:ascii="Times New Roman" w:eastAsia="Times New Roman" w:hAnsi="Times New Roman" w:cs="Times New Roman"/>
          <w:color w:val="222222"/>
          <w:sz w:val="20"/>
          <w:szCs w:val="20"/>
        </w:rPr>
        <w:t>-like increase as the most defensible intrinsic benchmark because it does not depend on the potentially impurity-affected calorimetry reconstruction.</w:t>
      </w:r>
    </w:p>
    <w:p w14:paraId="0000001A"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1B"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Edits made in the manuscript:</w:t>
      </w:r>
    </w:p>
    <w:p w14:paraId="0000001C"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1D" w14:textId="77777777" w:rsidR="00FF5F56" w:rsidRDefault="00000000">
      <w:pPr>
        <w:numPr>
          <w:ilvl w:val="0"/>
          <w:numId w:val="3"/>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lastRenderedPageBreak/>
        <w:t>Introduction section: added a compact bridge paragraph after the Galvin et al. discussion to contextualize Hayes vs. AIMD+DLM:</w:t>
      </w:r>
    </w:p>
    <w:p w14:paraId="0000001E" w14:textId="77777777" w:rsidR="00FF5F56" w:rsidRDefault="00000000">
      <w:pPr>
        <w:shd w:val="clear" w:color="auto" w:fill="FFFFFF"/>
        <w:ind w:left="720"/>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“These considerations frame two useful reference behaviors for intrinsic UN: the Hayes correlation, which reflects the strongest curvature inferred from the Conway-Flagella enthalpy dataset, and the more moderate nonlinear increase obtained from recent AIMD+DLM calculations. Agreement with the Hayes correlation trend can therefore be interpreted as evidence that anion disorder \</w:t>
      </w:r>
      <w:proofErr w:type="spellStart"/>
      <w:r>
        <w:rPr>
          <w:rFonts w:ascii="Times New Roman" w:eastAsia="Times New Roman" w:hAnsi="Times New Roman" w:cs="Times New Roman"/>
          <w:color w:val="222222"/>
          <w:sz w:val="20"/>
          <w:szCs w:val="20"/>
        </w:rPr>
        <w:t>emph</w:t>
      </w:r>
      <w:proofErr w:type="spellEnd"/>
      <w:r>
        <w:rPr>
          <w:rFonts w:ascii="Times New Roman" w:eastAsia="Times New Roman" w:hAnsi="Times New Roman" w:cs="Times New Roman"/>
          <w:color w:val="222222"/>
          <w:sz w:val="20"/>
          <w:szCs w:val="20"/>
        </w:rPr>
        <w:t>{can} generate heat-capacity contributions of the required scale, but it does not uniquely establish the intrinsic UN behavior because the Conway-Flagella samples contained substantial UO</w:t>
      </w:r>
      <w:r>
        <w:rPr>
          <w:rFonts w:ascii="Times New Roman" w:eastAsia="Times New Roman" w:hAnsi="Times New Roman" w:cs="Times New Roman"/>
          <w:color w:val="222222"/>
          <w:sz w:val="20"/>
          <w:szCs w:val="20"/>
          <w:vertAlign w:val="subscript"/>
        </w:rPr>
        <w:t>2</w:t>
      </w:r>
      <w:r>
        <w:rPr>
          <w:rFonts w:ascii="Times New Roman" w:eastAsia="Times New Roman" w:hAnsi="Times New Roman" w:cs="Times New Roman"/>
          <w:color w:val="222222"/>
          <w:sz w:val="20"/>
          <w:szCs w:val="20"/>
        </w:rPr>
        <w:t>.”</w:t>
      </w:r>
    </w:p>
    <w:p w14:paraId="0000001F" w14:textId="77777777" w:rsidR="00FF5F56" w:rsidRDefault="00000000">
      <w:pPr>
        <w:numPr>
          <w:ilvl w:val="0"/>
          <w:numId w:val="3"/>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Discussion section: added a new paragraph near the end of the section explicitly resolving the circularity and stating the Hayes correlation as an upper bound and AIMD+DLM as the preferred intrinsic reference:</w:t>
      </w:r>
    </w:p>
    <w:p w14:paraId="00000020" w14:textId="77777777" w:rsidR="00FF5F56" w:rsidRDefault="00000000">
      <w:pPr>
        <w:shd w:val="clear" w:color="auto" w:fill="FFFFFF"/>
        <w:ind w:left="720"/>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“Finally, the agreement between the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potential and the Hayes correlation should be interpreted as mechanistic consistency rather than a unique validation of the intrinsic UN heat-capacity curve. The Conway-Flagella enthalpy data underlying the Hayes correlation were obtained from samples containing substantial UO2, which could influence the reconstructed high-temperature C</w:t>
      </w:r>
      <w:r>
        <w:rPr>
          <w:rFonts w:ascii="Times New Roman" w:eastAsia="Times New Roman" w:hAnsi="Times New Roman" w:cs="Times New Roman"/>
          <w:color w:val="222222"/>
          <w:sz w:val="20"/>
          <w:szCs w:val="20"/>
          <w:vertAlign w:val="subscript"/>
        </w:rPr>
        <w:t>P</w:t>
      </w:r>
      <w:r>
        <w:rPr>
          <w:rFonts w:ascii="Times New Roman" w:eastAsia="Times New Roman" w:hAnsi="Times New Roman" w:cs="Times New Roman"/>
          <w:color w:val="222222"/>
          <w:sz w:val="20"/>
          <w:szCs w:val="20"/>
        </w:rPr>
        <w:t>(T). The recent AIMD+DLM result, which predicts a more moderate nonlinear increase, remains an important first-principles reference for high-purity UN.”</w:t>
      </w:r>
    </w:p>
    <w:p w14:paraId="00000021"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22"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2. The authors identify Frenkel pairs as “transient, dynamically formed" pairs using Wigner-Seitz (WS) analysis at temperatures up to 2600 K. At such high temperatures, large-amplitude thermal vibrations can cause atoms to momentarily displace from ideal sites, leading to “false positive” defect counts. Please clarify if any time averaging or displacement thresholding was applied to the snapshots to filter out high-frequency thermal noise. Without this, the reported defect concentration might be artificially inflated by thermal flickering.</w:t>
      </w:r>
    </w:p>
    <w:p w14:paraId="00000023"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24"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We agree that this is an important point. In the revised manuscript, we clarify that our reported Frenkel-pair concentrations are time-averaged over many finite-temperature configurations and that snapshots are sampled every 10 ps over 200 ps trajectories, with uncertainties given by the temporal standard deviation. This sampling interval is orders of magnitude longer than typical phonon periods and thus mitigates phonon-scale “flicker”, while still capturing thermally activated site-exchange events relevant to high-temperature anion disorder. We also explicitly state that no additional displacement threshold, quench, or persistence (lifetime) filter was applied beyond the WS site assignment, so the reported values should be interpreted as time-averaged measures of anion-sublattice disorder rather than quenched, static Frenkel defects.</w:t>
      </w:r>
    </w:p>
    <w:p w14:paraId="00000025"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26"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 xml:space="preserve">3. The simulations extend to 2600 K, which is near the experimental melting point of UN. Interatomic potentials often predict </w:t>
      </w:r>
      <w:r>
        <w:rPr>
          <w:rFonts w:ascii="Times New Roman" w:eastAsia="Times New Roman" w:hAnsi="Times New Roman" w:cs="Times New Roman"/>
          <w:b/>
          <w:bCs/>
          <w:i/>
          <w:iCs/>
          <w:color w:val="222222"/>
          <w:sz w:val="20"/>
          <w:szCs w:val="20"/>
        </w:rPr>
        <w:t>T</w:t>
      </w:r>
      <w:r>
        <w:rPr>
          <w:rFonts w:ascii="Times New Roman" w:eastAsia="Times New Roman" w:hAnsi="Times New Roman" w:cs="Times New Roman"/>
          <w:b/>
          <w:bCs/>
          <w:i/>
          <w:iCs/>
          <w:color w:val="222222"/>
          <w:sz w:val="20"/>
          <w:szCs w:val="20"/>
          <w:vertAlign w:val="subscript"/>
        </w:rPr>
        <w:t>m</w:t>
      </w:r>
      <w:r>
        <w:rPr>
          <w:rFonts w:ascii="Times New Roman" w:eastAsia="Times New Roman" w:hAnsi="Times New Roman" w:cs="Times New Roman"/>
          <w:b/>
          <w:bCs/>
          <w:color w:val="222222"/>
          <w:sz w:val="20"/>
          <w:szCs w:val="20"/>
        </w:rPr>
        <w:t xml:space="preserve"> values that differ from experiment. Please report the calculated </w:t>
      </w:r>
      <w:r>
        <w:rPr>
          <w:rFonts w:ascii="Times New Roman" w:eastAsia="Times New Roman" w:hAnsi="Times New Roman" w:cs="Times New Roman"/>
          <w:b/>
          <w:bCs/>
          <w:i/>
          <w:iCs/>
          <w:color w:val="222222"/>
          <w:sz w:val="20"/>
          <w:szCs w:val="20"/>
        </w:rPr>
        <w:t>T</w:t>
      </w:r>
      <w:r>
        <w:rPr>
          <w:rFonts w:ascii="Times New Roman" w:eastAsia="Times New Roman" w:hAnsi="Times New Roman" w:cs="Times New Roman"/>
          <w:b/>
          <w:bCs/>
          <w:i/>
          <w:iCs/>
          <w:color w:val="222222"/>
          <w:sz w:val="20"/>
          <w:szCs w:val="20"/>
          <w:vertAlign w:val="subscript"/>
        </w:rPr>
        <w:t>m</w:t>
      </w:r>
      <w:r>
        <w:rPr>
          <w:rFonts w:ascii="Times New Roman" w:eastAsia="Times New Roman" w:hAnsi="Times New Roman" w:cs="Times New Roman"/>
          <w:b/>
          <w:bCs/>
          <w:color w:val="222222"/>
          <w:sz w:val="20"/>
          <w:szCs w:val="20"/>
        </w:rPr>
        <w:t xml:space="preserve"> for both the </w:t>
      </w:r>
      <w:proofErr w:type="spellStart"/>
      <w:r>
        <w:rPr>
          <w:rFonts w:ascii="Times New Roman" w:eastAsia="Times New Roman" w:hAnsi="Times New Roman" w:cs="Times New Roman"/>
          <w:b/>
          <w:bCs/>
          <w:color w:val="222222"/>
          <w:sz w:val="20"/>
          <w:szCs w:val="20"/>
        </w:rPr>
        <w:t>Tseplyaev</w:t>
      </w:r>
      <w:proofErr w:type="spellEnd"/>
      <w:r>
        <w:rPr>
          <w:rFonts w:ascii="Times New Roman" w:eastAsia="Times New Roman" w:hAnsi="Times New Roman" w:cs="Times New Roman"/>
          <w:b/>
          <w:bCs/>
          <w:color w:val="222222"/>
          <w:sz w:val="20"/>
          <w:szCs w:val="20"/>
        </w:rPr>
        <w:t xml:space="preserve"> and Kocevski potentials. It is important to verify that the observed sublattice disordering is an intrinsic solid-state crossover and not a pre-melting artifact specific to the potential models.</w:t>
      </w:r>
    </w:p>
    <w:p w14:paraId="00000027"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28" w14:textId="77777777" w:rsidR="00FF5F56" w:rsidRPr="001837C9"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We thank the reviewer for raising this important point. In the revision, we now report thermodynamic melting points for both potentials from our prior void-induced melting simulations, which mitigate the superheating/hysteresis that </w:t>
      </w:r>
      <w:r w:rsidRPr="001837C9">
        <w:rPr>
          <w:rFonts w:ascii="Times New Roman" w:eastAsia="Times New Roman" w:hAnsi="Times New Roman" w:cs="Times New Roman"/>
          <w:color w:val="222222"/>
          <w:sz w:val="20"/>
          <w:szCs w:val="20"/>
        </w:rPr>
        <w:t xml:space="preserve">occurs in direct-heating MD of perfect crystals. Specifically, the </w:t>
      </w:r>
      <w:proofErr w:type="spellStart"/>
      <w:r w:rsidRPr="001837C9">
        <w:rPr>
          <w:rFonts w:ascii="Times New Roman" w:eastAsia="Times New Roman" w:hAnsi="Times New Roman" w:cs="Times New Roman"/>
          <w:color w:val="222222"/>
          <w:sz w:val="20"/>
          <w:szCs w:val="20"/>
        </w:rPr>
        <w:t>Tseplyaev</w:t>
      </w:r>
      <w:proofErr w:type="spellEnd"/>
      <w:r w:rsidRPr="001837C9">
        <w:rPr>
          <w:rFonts w:ascii="Times New Roman" w:eastAsia="Times New Roman" w:hAnsi="Times New Roman" w:cs="Times New Roman"/>
          <w:color w:val="222222"/>
          <w:sz w:val="20"/>
          <w:szCs w:val="20"/>
        </w:rPr>
        <w:t xml:space="preserve"> potential predicts T</w:t>
      </w:r>
      <w:r w:rsidRPr="001837C9">
        <w:rPr>
          <w:rFonts w:ascii="Times New Roman" w:eastAsia="Times New Roman" w:hAnsi="Times New Roman" w:cs="Times New Roman"/>
          <w:color w:val="222222"/>
          <w:sz w:val="20"/>
          <w:szCs w:val="20"/>
          <w:vertAlign w:val="subscript"/>
        </w:rPr>
        <w:t>m</w:t>
      </w:r>
      <w:r w:rsidRPr="001837C9">
        <w:rPr>
          <w:rFonts w:ascii="Times New Roman" w:eastAsia="Gungsuh" w:hAnsi="Times New Roman" w:cs="Times New Roman"/>
          <w:color w:val="222222"/>
          <w:sz w:val="20"/>
          <w:szCs w:val="20"/>
        </w:rPr>
        <w:t xml:space="preserve"> ≈ 2700 K, and the Kocevski potential predicts T</w:t>
      </w:r>
      <w:r w:rsidRPr="001837C9">
        <w:rPr>
          <w:rFonts w:ascii="Times New Roman" w:eastAsia="Times New Roman" w:hAnsi="Times New Roman" w:cs="Times New Roman"/>
          <w:color w:val="222222"/>
          <w:sz w:val="20"/>
          <w:szCs w:val="20"/>
          <w:vertAlign w:val="subscript"/>
        </w:rPr>
        <w:t>m</w:t>
      </w:r>
      <w:r w:rsidRPr="001837C9">
        <w:rPr>
          <w:rFonts w:ascii="Times New Roman" w:eastAsia="Gungsuh" w:hAnsi="Times New Roman" w:cs="Times New Roman"/>
          <w:color w:val="222222"/>
          <w:sz w:val="20"/>
          <w:szCs w:val="20"/>
        </w:rPr>
        <w:t xml:space="preserve"> ≈ 3100 K.</w:t>
      </w:r>
    </w:p>
    <w:p w14:paraId="00000029" w14:textId="77777777" w:rsidR="00FF5F56" w:rsidRPr="001837C9" w:rsidRDefault="00000000">
      <w:pPr>
        <w:shd w:val="clear" w:color="auto" w:fill="FFFFFF"/>
        <w:jc w:val="both"/>
        <w:rPr>
          <w:rFonts w:ascii="Times New Roman" w:eastAsia="Times New Roman" w:hAnsi="Times New Roman" w:cs="Times New Roman"/>
          <w:color w:val="222222"/>
          <w:sz w:val="20"/>
          <w:szCs w:val="20"/>
        </w:rPr>
      </w:pPr>
      <w:r w:rsidRPr="001837C9">
        <w:rPr>
          <w:rFonts w:ascii="Times New Roman" w:eastAsia="Gungsuh" w:hAnsi="Times New Roman" w:cs="Times New Roman"/>
          <w:color w:val="222222"/>
          <w:sz w:val="20"/>
          <w:szCs w:val="20"/>
        </w:rPr>
        <w:t xml:space="preserve">We additionally note that direct heating without voids typically overestimates melting because the solid-liquid interface nucleation barrier delays melting. Consistent with this, in our direct-heating tests (perfect supercell, no voids), the </w:t>
      </w:r>
      <w:proofErr w:type="spellStart"/>
      <w:r w:rsidRPr="001837C9">
        <w:rPr>
          <w:rFonts w:ascii="Times New Roman" w:eastAsia="Gungsuh" w:hAnsi="Times New Roman" w:cs="Times New Roman"/>
          <w:color w:val="222222"/>
          <w:sz w:val="20"/>
          <w:szCs w:val="20"/>
        </w:rPr>
        <w:t>Tseplyaev</w:t>
      </w:r>
      <w:proofErr w:type="spellEnd"/>
      <w:r w:rsidRPr="001837C9">
        <w:rPr>
          <w:rFonts w:ascii="Times New Roman" w:eastAsia="Gungsuh" w:hAnsi="Times New Roman" w:cs="Times New Roman"/>
          <w:color w:val="222222"/>
          <w:sz w:val="20"/>
          <w:szCs w:val="20"/>
        </w:rPr>
        <w:t xml:space="preserve"> potential remains crystalline up to approximately </w:t>
      </w:r>
      <w:r w:rsidRPr="001837C9">
        <w:rPr>
          <w:rFonts w:ascii="Cambria Math" w:eastAsia="Gungsuh" w:hAnsi="Cambria Math" w:cs="Cambria Math"/>
          <w:color w:val="222222"/>
          <w:sz w:val="20"/>
          <w:szCs w:val="20"/>
        </w:rPr>
        <w:t>∼</w:t>
      </w:r>
      <w:r w:rsidRPr="001837C9">
        <w:rPr>
          <w:rFonts w:ascii="Times New Roman" w:eastAsia="Gungsuh" w:hAnsi="Times New Roman" w:cs="Times New Roman"/>
          <w:color w:val="222222"/>
          <w:sz w:val="20"/>
          <w:szCs w:val="20"/>
        </w:rPr>
        <w:t>3000 K.</w:t>
      </w:r>
    </w:p>
    <w:p w14:paraId="0000002A" w14:textId="77777777" w:rsidR="00FF5F56" w:rsidRDefault="00000000">
      <w:pPr>
        <w:shd w:val="clear" w:color="auto" w:fill="FFFFFF"/>
        <w:jc w:val="both"/>
        <w:rPr>
          <w:rFonts w:ascii="Times New Roman" w:eastAsia="Times New Roman" w:hAnsi="Times New Roman" w:cs="Times New Roman"/>
          <w:color w:val="222222"/>
          <w:sz w:val="20"/>
          <w:szCs w:val="20"/>
        </w:rPr>
      </w:pPr>
      <w:r w:rsidRPr="001837C9">
        <w:rPr>
          <w:rFonts w:ascii="Times New Roman" w:eastAsia="Times New Roman" w:hAnsi="Times New Roman" w:cs="Times New Roman"/>
          <w:color w:val="222222"/>
          <w:sz w:val="20"/>
          <w:szCs w:val="20"/>
        </w:rPr>
        <w:t>Finally, to address the possibility of pre-melting at 2600 K, we examined radial distribution functions</w:t>
      </w:r>
      <w:r>
        <w:rPr>
          <w:rFonts w:ascii="Times New Roman" w:eastAsia="Times New Roman" w:hAnsi="Times New Roman" w:cs="Times New Roman"/>
          <w:color w:val="222222"/>
          <w:sz w:val="20"/>
          <w:szCs w:val="20"/>
        </w:rPr>
        <w:t xml:space="preserve"> (RDFs) at 2600 K and observed no loss of long-range order (no liquid-like collapse of higher-neighbor peaks) for either potential, indicating the system remains solid and that the onset of nitrogen mobility occurs within the solid stability window rather than as a pre-melting artifact.</w:t>
      </w:r>
    </w:p>
    <w:p w14:paraId="0000002B"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2C"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Edits made in the manuscript:</w:t>
      </w:r>
    </w:p>
    <w:p w14:paraId="0000002D"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2E" w14:textId="77777777" w:rsidR="00FF5F56" w:rsidRDefault="00000000">
      <w:pPr>
        <w:numPr>
          <w:ilvl w:val="0"/>
          <w:numId w:val="2"/>
        </w:num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Computational details section: added the following paragraph:</w:t>
      </w:r>
    </w:p>
    <w:p w14:paraId="0000002F" w14:textId="77777777" w:rsidR="00FF5F56" w:rsidRPr="001837C9" w:rsidRDefault="00000000">
      <w:pPr>
        <w:shd w:val="clear" w:color="auto" w:fill="FFFFFF"/>
        <w:ind w:left="720"/>
        <w:jc w:val="both"/>
        <w:rPr>
          <w:rFonts w:ascii="Times New Roman" w:eastAsia="Times New Roman" w:hAnsi="Times New Roman" w:cs="Times New Roman"/>
          <w:color w:val="222222"/>
          <w:sz w:val="20"/>
          <w:szCs w:val="20"/>
        </w:rPr>
      </w:pPr>
      <w:r w:rsidRPr="001837C9">
        <w:rPr>
          <w:rFonts w:ascii="Times New Roman" w:eastAsia="Times New Roman" w:hAnsi="Times New Roman" w:cs="Times New Roman"/>
          <w:color w:val="222222"/>
          <w:sz w:val="20"/>
          <w:szCs w:val="20"/>
        </w:rPr>
        <w:t>“We note that melting temperatures obtained from direct-heating MD of perfect crystals generally overestimate the thermodynamic melting point due to superheating and the solid-liquid interface nucleation barrier [X]. From our prior void-induced melting simulations [X], T</w:t>
      </w:r>
      <w:r w:rsidRPr="001837C9">
        <w:rPr>
          <w:rFonts w:ascii="Times New Roman" w:eastAsia="Times New Roman" w:hAnsi="Times New Roman" w:cs="Times New Roman"/>
          <w:color w:val="222222"/>
          <w:sz w:val="20"/>
          <w:szCs w:val="20"/>
          <w:vertAlign w:val="subscript"/>
        </w:rPr>
        <w:t>m</w:t>
      </w:r>
      <w:r w:rsidRPr="001837C9">
        <w:rPr>
          <w:rFonts w:ascii="Times New Roman" w:eastAsia="Gungsuh" w:hAnsi="Times New Roman" w:cs="Times New Roman"/>
          <w:color w:val="222222"/>
          <w:sz w:val="20"/>
          <w:szCs w:val="20"/>
        </w:rPr>
        <w:t xml:space="preserve"> ≈ 2700 K for the </w:t>
      </w:r>
      <w:proofErr w:type="spellStart"/>
      <w:r w:rsidRPr="001837C9">
        <w:rPr>
          <w:rFonts w:ascii="Times New Roman" w:eastAsia="Gungsuh" w:hAnsi="Times New Roman" w:cs="Times New Roman"/>
          <w:color w:val="222222"/>
          <w:sz w:val="20"/>
          <w:szCs w:val="20"/>
        </w:rPr>
        <w:t>Tseplyaev</w:t>
      </w:r>
      <w:proofErr w:type="spellEnd"/>
      <w:r w:rsidRPr="001837C9">
        <w:rPr>
          <w:rFonts w:ascii="Times New Roman" w:eastAsia="Gungsuh" w:hAnsi="Times New Roman" w:cs="Times New Roman"/>
          <w:color w:val="222222"/>
          <w:sz w:val="20"/>
          <w:szCs w:val="20"/>
        </w:rPr>
        <w:t xml:space="preserve"> potential and T</w:t>
      </w:r>
      <w:r w:rsidRPr="001837C9">
        <w:rPr>
          <w:rFonts w:ascii="Times New Roman" w:eastAsia="Times New Roman" w:hAnsi="Times New Roman" w:cs="Times New Roman"/>
          <w:color w:val="222222"/>
          <w:sz w:val="20"/>
          <w:szCs w:val="20"/>
          <w:vertAlign w:val="subscript"/>
        </w:rPr>
        <w:t>m</w:t>
      </w:r>
      <w:r w:rsidRPr="001837C9">
        <w:rPr>
          <w:rFonts w:ascii="Times New Roman" w:eastAsia="Gungsuh" w:hAnsi="Times New Roman" w:cs="Times New Roman"/>
          <w:color w:val="222222"/>
          <w:sz w:val="20"/>
          <w:szCs w:val="20"/>
        </w:rPr>
        <w:t xml:space="preserve"> ≈ 3100 K for the Kocevski potential. All simulations here remain within the solid-phase stability window of both potentials. Although the </w:t>
      </w:r>
      <w:proofErr w:type="spellStart"/>
      <w:r w:rsidRPr="001837C9">
        <w:rPr>
          <w:rFonts w:ascii="Times New Roman" w:eastAsia="Gungsuh" w:hAnsi="Times New Roman" w:cs="Times New Roman"/>
          <w:color w:val="222222"/>
          <w:sz w:val="20"/>
          <w:szCs w:val="20"/>
        </w:rPr>
        <w:t>Tseplyaev</w:t>
      </w:r>
      <w:proofErr w:type="spellEnd"/>
      <w:r w:rsidRPr="001837C9">
        <w:rPr>
          <w:rFonts w:ascii="Times New Roman" w:eastAsia="Gungsuh" w:hAnsi="Times New Roman" w:cs="Times New Roman"/>
          <w:color w:val="222222"/>
          <w:sz w:val="20"/>
          <w:szCs w:val="20"/>
        </w:rPr>
        <w:t xml:space="preserve"> results at 2600 K approach that model's thermodynamic melting range, the </w:t>
      </w:r>
      <w:proofErr w:type="spellStart"/>
      <w:r w:rsidRPr="001837C9">
        <w:rPr>
          <w:rFonts w:ascii="Times New Roman" w:eastAsia="Gungsuh" w:hAnsi="Times New Roman" w:cs="Times New Roman"/>
          <w:color w:val="222222"/>
          <w:sz w:val="20"/>
          <w:szCs w:val="20"/>
        </w:rPr>
        <w:t>Tseplyaev</w:t>
      </w:r>
      <w:proofErr w:type="spellEnd"/>
      <w:r w:rsidRPr="001837C9">
        <w:rPr>
          <w:rFonts w:ascii="Times New Roman" w:eastAsia="Gungsuh" w:hAnsi="Times New Roman" w:cs="Times New Roman"/>
          <w:color w:val="222222"/>
          <w:sz w:val="20"/>
          <w:szCs w:val="20"/>
        </w:rPr>
        <w:t xml:space="preserve"> potential remains crystalline up to ~3000 K in a perfect-supercell heating because of expected hysteresis.”</w:t>
      </w:r>
    </w:p>
    <w:p w14:paraId="00000030" w14:textId="77777777" w:rsidR="00FF5F56" w:rsidRPr="001837C9" w:rsidRDefault="00000000">
      <w:pPr>
        <w:numPr>
          <w:ilvl w:val="0"/>
          <w:numId w:val="2"/>
        </w:numPr>
        <w:shd w:val="clear" w:color="auto" w:fill="FFFFFF"/>
        <w:jc w:val="both"/>
        <w:rPr>
          <w:rFonts w:ascii="Times New Roman" w:eastAsia="Times New Roman" w:hAnsi="Times New Roman" w:cs="Times New Roman"/>
          <w:color w:val="222222"/>
          <w:sz w:val="20"/>
          <w:szCs w:val="20"/>
        </w:rPr>
      </w:pPr>
      <w:r w:rsidRPr="001837C9">
        <w:rPr>
          <w:rFonts w:ascii="Times New Roman" w:eastAsia="Times New Roman" w:hAnsi="Times New Roman" w:cs="Times New Roman"/>
          <w:color w:val="222222"/>
          <w:sz w:val="20"/>
          <w:szCs w:val="20"/>
        </w:rPr>
        <w:t>Results section:</w:t>
      </w:r>
    </w:p>
    <w:p w14:paraId="00000031" w14:textId="77777777" w:rsidR="00FF5F56" w:rsidRDefault="00000000">
      <w:pPr>
        <w:shd w:val="clear" w:color="auto" w:fill="FFFFFF"/>
        <w:ind w:left="720"/>
        <w:jc w:val="both"/>
        <w:rPr>
          <w:rFonts w:ascii="Times New Roman" w:eastAsia="Times New Roman" w:hAnsi="Times New Roman" w:cs="Times New Roman"/>
          <w:color w:val="222222"/>
          <w:sz w:val="20"/>
          <w:szCs w:val="20"/>
        </w:rPr>
      </w:pPr>
      <w:r w:rsidRPr="001837C9">
        <w:rPr>
          <w:rFonts w:ascii="Times New Roman" w:eastAsia="Times New Roman" w:hAnsi="Times New Roman" w:cs="Times New Roman"/>
          <w:color w:val="222222"/>
          <w:sz w:val="20"/>
          <w:szCs w:val="20"/>
        </w:rPr>
        <w:t>“To confirm that the 2600 K state remains solid and that the observed anion mobility and concentration are not a pre-melting artifact, we examined radial distribution</w:t>
      </w:r>
      <w:r>
        <w:rPr>
          <w:rFonts w:ascii="Times New Roman" w:eastAsia="Times New Roman" w:hAnsi="Times New Roman" w:cs="Times New Roman"/>
          <w:color w:val="222222"/>
          <w:sz w:val="20"/>
          <w:szCs w:val="20"/>
        </w:rPr>
        <w:t xml:space="preserve"> functions at 2600 K and found them consistent with a crystalline solid (no liquid-like collapse of higher-neighbor peaks) for either potential.”</w:t>
      </w:r>
    </w:p>
    <w:p w14:paraId="00000032"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33"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 xml:space="preserve">4. The study attributes the </w:t>
      </w:r>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i/>
          <w:iCs/>
          <w:color w:val="222222"/>
          <w:sz w:val="20"/>
          <w:szCs w:val="20"/>
          <w:vertAlign w:val="subscript"/>
        </w:rPr>
        <w:t>P</w:t>
      </w:r>
      <w:r>
        <w:rPr>
          <w:rFonts w:ascii="Times New Roman" w:eastAsia="Times New Roman" w:hAnsi="Times New Roman" w:cs="Times New Roman"/>
          <w:b/>
          <w:bCs/>
          <w:color w:val="222222"/>
          <w:sz w:val="20"/>
          <w:szCs w:val="20"/>
        </w:rPr>
        <w:t xml:space="preserve"> anomaly primarily to nitrogen Frenkel pairs. However, total heat capacity extracted from MD naturally includes significant contributions from anharmonic lattice vibrations at these high temperatures. To strengthen the causal link between defect formation and the heat capacity rise, the authors should provide a more detailed deconvolution of these contributions. Specifically, please address the following:</w:t>
      </w:r>
    </w:p>
    <w:p w14:paraId="00000034"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35"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 xml:space="preserve">a. Please plot the defect-induced heat capacity </w:t>
      </w:r>
      <w:proofErr w:type="spellStart"/>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color w:val="222222"/>
          <w:sz w:val="20"/>
          <w:szCs w:val="20"/>
          <w:vertAlign w:val="subscript"/>
        </w:rPr>
        <w:t>def</w:t>
      </w:r>
      <w:proofErr w:type="spellEnd"/>
      <w:r>
        <w:rPr>
          <w:rFonts w:ascii="Times New Roman" w:eastAsia="Times New Roman" w:hAnsi="Times New Roman" w:cs="Times New Roman"/>
          <w:b/>
          <w:bCs/>
          <w:color w:val="222222"/>
          <w:sz w:val="20"/>
          <w:szCs w:val="20"/>
        </w:rPr>
        <w:t xml:space="preserve"> (calculated from Eq. 3) alongside the total </w:t>
      </w:r>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i/>
          <w:iCs/>
          <w:color w:val="222222"/>
          <w:sz w:val="20"/>
          <w:szCs w:val="20"/>
          <w:vertAlign w:val="subscript"/>
        </w:rPr>
        <w:t>P</w:t>
      </w:r>
      <w:r>
        <w:rPr>
          <w:rFonts w:ascii="Times New Roman" w:eastAsia="Times New Roman" w:hAnsi="Times New Roman" w:cs="Times New Roman"/>
          <w:b/>
          <w:bCs/>
          <w:color w:val="222222"/>
          <w:sz w:val="20"/>
          <w:szCs w:val="20"/>
        </w:rPr>
        <w:t xml:space="preserve"> obtained directly from the MD simulations. This will allow the reader to see what percentage of the “excess” heat capacity is directly accounted for by the Frenkel-pair formation enthalpy.</w:t>
      </w:r>
    </w:p>
    <w:p w14:paraId="00000036"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37"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Thank you for this suggestion. We agree that the total MD heat capacity contains lattice, anharmonic, electronic, and defect-related contributions, and we have revised the manuscript to make the comparison more explicit. The following paragraphs have been added to the Results section:</w:t>
      </w:r>
    </w:p>
    <w:p w14:paraId="00000038"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39"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“To connect the directly counted Frenkel-pair population with the heat-capacity response, we compare three quantities. First, the total constant-pressure heat capacity, C</w:t>
      </w:r>
      <w:r>
        <w:rPr>
          <w:rFonts w:ascii="Times New Roman" w:eastAsia="Times New Roman" w:hAnsi="Times New Roman" w:cs="Times New Roman"/>
          <w:color w:val="222222"/>
          <w:sz w:val="20"/>
          <w:szCs w:val="20"/>
          <w:vertAlign w:val="subscript"/>
        </w:rPr>
        <w:t>P</w:t>
      </w:r>
      <w:r>
        <w:rPr>
          <w:rFonts w:ascii="Times New Roman" w:eastAsia="Times New Roman" w:hAnsi="Times New Roman" w:cs="Times New Roman"/>
          <w:color w:val="222222"/>
          <w:sz w:val="20"/>
          <w:szCs w:val="20"/>
        </w:rPr>
        <w:t>, is written as:</w:t>
      </w:r>
    </w:p>
    <w:p w14:paraId="0000003A"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P</w:t>
      </w:r>
      <w:r>
        <w:rPr>
          <w:rFonts w:ascii="Times New Roman" w:eastAsia="Times New Roman" w:hAnsi="Times New Roman" w:cs="Times New Roman"/>
          <w:color w:val="222222"/>
          <w:sz w:val="20"/>
          <w:szCs w:val="20"/>
        </w:rPr>
        <w:t xml:space="preserve"> =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lat</w:t>
      </w:r>
      <w:proofErr w:type="spellEnd"/>
      <w:r>
        <w:rPr>
          <w:rFonts w:ascii="Times New Roman" w:eastAsia="Times New Roman" w:hAnsi="Times New Roman" w:cs="Times New Roman"/>
          <w:color w:val="222222"/>
          <w:sz w:val="20"/>
          <w:szCs w:val="20"/>
        </w:rPr>
        <w:t xml:space="preserve"> +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elec</w:t>
      </w:r>
      <w:proofErr w:type="spellEnd"/>
      <w:r>
        <w:rPr>
          <w:rFonts w:ascii="Times New Roman" w:eastAsia="Times New Roman" w:hAnsi="Times New Roman" w:cs="Times New Roman"/>
          <w:color w:val="222222"/>
          <w:sz w:val="20"/>
          <w:szCs w:val="20"/>
        </w:rPr>
        <w:t>,</w:t>
      </w:r>
    </w:p>
    <w:p w14:paraId="0000003B"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where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lat</w:t>
      </w:r>
      <w:proofErr w:type="spellEnd"/>
      <w:r>
        <w:rPr>
          <w:rFonts w:ascii="Times New Roman" w:eastAsia="Times New Roman" w:hAnsi="Times New Roman" w:cs="Times New Roman"/>
          <w:color w:val="222222"/>
          <w:sz w:val="20"/>
          <w:szCs w:val="20"/>
        </w:rPr>
        <w:t xml:space="preserve"> is the MD lattice heat capacity and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elec</w:t>
      </w:r>
      <w:proofErr w:type="spellEnd"/>
      <w:r>
        <w:rPr>
          <w:rFonts w:ascii="Times New Roman" w:eastAsia="Times New Roman" w:hAnsi="Times New Roman" w:cs="Times New Roman"/>
          <w:color w:val="222222"/>
          <w:sz w:val="20"/>
          <w:szCs w:val="20"/>
        </w:rPr>
        <w:t xml:space="preserve"> is the electronic heat-capacity contribution, following our previous assessment of these potentials [2]. Second, we define a residual lattice term,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anharm+def</w:t>
      </w:r>
      <w:proofErr w:type="spellEnd"/>
      <w:r>
        <w:rPr>
          <w:rFonts w:ascii="Times New Roman" w:eastAsia="Times New Roman" w:hAnsi="Times New Roman" w:cs="Times New Roman"/>
          <w:color w:val="222222"/>
          <w:sz w:val="20"/>
          <w:szCs w:val="20"/>
        </w:rPr>
        <w:t>, by subtracting the constant-volume heat capacity, C</w:t>
      </w:r>
      <w:r>
        <w:rPr>
          <w:rFonts w:ascii="Times New Roman" w:eastAsia="Times New Roman" w:hAnsi="Times New Roman" w:cs="Times New Roman"/>
          <w:color w:val="222222"/>
          <w:sz w:val="20"/>
          <w:szCs w:val="20"/>
          <w:vertAlign w:val="subscript"/>
        </w:rPr>
        <w:t>V</w:t>
      </w:r>
      <w:r>
        <w:rPr>
          <w:rFonts w:ascii="Times New Roman" w:eastAsia="Times New Roman" w:hAnsi="Times New Roman" w:cs="Times New Roman"/>
          <w:color w:val="222222"/>
          <w:sz w:val="20"/>
          <w:szCs w:val="20"/>
        </w:rPr>
        <w:t xml:space="preserve">, and the thermal-expansion contribution,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exp</w:t>
      </w:r>
      <w:proofErr w:type="spellEnd"/>
      <w:r>
        <w:rPr>
          <w:rFonts w:ascii="Times New Roman" w:eastAsia="Times New Roman" w:hAnsi="Times New Roman" w:cs="Times New Roman"/>
          <w:color w:val="222222"/>
          <w:sz w:val="20"/>
          <w:szCs w:val="20"/>
        </w:rPr>
        <w:t xml:space="preserve">, from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lat</w:t>
      </w:r>
      <w:proofErr w:type="spellEnd"/>
      <w:r>
        <w:rPr>
          <w:rFonts w:ascii="Times New Roman" w:eastAsia="Times New Roman" w:hAnsi="Times New Roman" w:cs="Times New Roman"/>
          <w:color w:val="222222"/>
          <w:sz w:val="20"/>
          <w:szCs w:val="20"/>
        </w:rPr>
        <w:t>:</w:t>
      </w:r>
    </w:p>
    <w:p w14:paraId="0000003C" w14:textId="77777777" w:rsidR="00FF5F56" w:rsidRDefault="00000000">
      <w:pPr>
        <w:shd w:val="clear" w:color="auto" w:fill="FFFFFF"/>
        <w:jc w:val="both"/>
        <w:rPr>
          <w:rFonts w:ascii="Times New Roman" w:eastAsia="Times New Roman" w:hAnsi="Times New Roman" w:cs="Times New Roman"/>
          <w:color w:val="222222"/>
          <w:sz w:val="20"/>
          <w:szCs w:val="20"/>
        </w:rPr>
      </w:pP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anharm+def</w:t>
      </w:r>
      <w:proofErr w:type="spellEnd"/>
      <w:r>
        <w:rPr>
          <w:rFonts w:ascii="Times New Roman" w:eastAsia="Times New Roman" w:hAnsi="Times New Roman" w:cs="Times New Roman"/>
          <w:color w:val="222222"/>
          <w:sz w:val="20"/>
          <w:szCs w:val="20"/>
        </w:rPr>
        <w:t xml:space="preserve"> =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lat</w:t>
      </w:r>
      <w:proofErr w:type="spellEnd"/>
      <w:r>
        <w:rPr>
          <w:rFonts w:ascii="Times New Roman" w:eastAsia="Times New Roman" w:hAnsi="Times New Roman" w:cs="Times New Roman"/>
          <w:color w:val="222222"/>
          <w:sz w:val="20"/>
          <w:szCs w:val="20"/>
        </w:rPr>
        <w:t xml:space="preserve"> - C</w:t>
      </w:r>
      <w:r>
        <w:rPr>
          <w:rFonts w:ascii="Times New Roman" w:eastAsia="Times New Roman" w:hAnsi="Times New Roman" w:cs="Times New Roman"/>
          <w:color w:val="222222"/>
          <w:sz w:val="20"/>
          <w:szCs w:val="20"/>
          <w:vertAlign w:val="subscript"/>
        </w:rPr>
        <w:t>V</w:t>
      </w:r>
      <w:r>
        <w:rPr>
          <w:rFonts w:ascii="Times New Roman" w:eastAsia="Times New Roman" w:hAnsi="Times New Roman" w:cs="Times New Roman"/>
          <w:color w:val="222222"/>
          <w:sz w:val="20"/>
          <w:szCs w:val="20"/>
        </w:rPr>
        <w:t xml:space="preserve"> -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exp</w:t>
      </w:r>
      <w:proofErr w:type="spellEnd"/>
      <w:r>
        <w:rPr>
          <w:rFonts w:ascii="Times New Roman" w:eastAsia="Times New Roman" w:hAnsi="Times New Roman" w:cs="Times New Roman"/>
          <w:color w:val="222222"/>
          <w:sz w:val="20"/>
          <w:szCs w:val="20"/>
        </w:rPr>
        <w:t>.</w:t>
      </w:r>
    </w:p>
    <w:p w14:paraId="0000003D"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Here,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anharm+def</w:t>
      </w:r>
      <w:proofErr w:type="spellEnd"/>
      <w:r>
        <w:rPr>
          <w:rFonts w:ascii="Times New Roman" w:eastAsia="Times New Roman" w:hAnsi="Times New Roman" w:cs="Times New Roman"/>
          <w:color w:val="222222"/>
          <w:sz w:val="20"/>
          <w:szCs w:val="20"/>
        </w:rPr>
        <w:t xml:space="preserve"> represents the part of the lattice heat capacity that remains after removing the constant-volume and expansion contributions. The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lat</w:t>
      </w:r>
      <w:proofErr w:type="spellEnd"/>
      <w:r>
        <w:rPr>
          <w:rFonts w:ascii="Times New Roman" w:eastAsia="Times New Roman" w:hAnsi="Times New Roman" w:cs="Times New Roman"/>
          <w:color w:val="222222"/>
          <w:sz w:val="20"/>
          <w:szCs w:val="20"/>
        </w:rPr>
        <w:t>, C</w:t>
      </w:r>
      <w:r>
        <w:rPr>
          <w:rFonts w:ascii="Times New Roman" w:eastAsia="Times New Roman" w:hAnsi="Times New Roman" w:cs="Times New Roman"/>
          <w:color w:val="222222"/>
          <w:sz w:val="20"/>
          <w:szCs w:val="20"/>
          <w:vertAlign w:val="subscript"/>
        </w:rPr>
        <w:t>V</w:t>
      </w:r>
      <w:r>
        <w:rPr>
          <w:rFonts w:ascii="Times New Roman" w:eastAsia="Times New Roman" w:hAnsi="Times New Roman" w:cs="Times New Roman"/>
          <w:color w:val="222222"/>
          <w:sz w:val="20"/>
          <w:szCs w:val="20"/>
        </w:rPr>
        <w:t xml:space="preserve">, and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exp</w:t>
      </w:r>
      <w:proofErr w:type="spellEnd"/>
      <w:r>
        <w:rPr>
          <w:rFonts w:ascii="Times New Roman" w:eastAsia="Times New Roman" w:hAnsi="Times New Roman" w:cs="Times New Roman"/>
          <w:color w:val="222222"/>
          <w:sz w:val="20"/>
          <w:szCs w:val="20"/>
        </w:rPr>
        <w:t xml:space="preserve"> terms were obtained from fits generated from the MD data reported in our previous assessment [2]. We label this residual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anharm+def</w:t>
      </w:r>
      <w:proofErr w:type="spellEnd"/>
      <w:r>
        <w:rPr>
          <w:rFonts w:ascii="Times New Roman" w:eastAsia="Times New Roman" w:hAnsi="Times New Roman" w:cs="Times New Roman"/>
          <w:color w:val="222222"/>
          <w:sz w:val="20"/>
          <w:szCs w:val="20"/>
        </w:rPr>
        <w:t xml:space="preserve"> because the high-temperature MD trajectories allow Frenkel pairs to form spontaneously. Therefore, the residual contains both non-expansive anharmonic lattice contributions and defect-generation contributions. Finally, we compare this residual with the independently estimated defect heat capacity,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def</w:t>
      </w:r>
      <w:proofErr w:type="spellEnd"/>
      <w:r>
        <w:rPr>
          <w:rFonts w:ascii="Times New Roman" w:eastAsia="Times New Roman" w:hAnsi="Times New Roman" w:cs="Times New Roman"/>
          <w:color w:val="222222"/>
          <w:sz w:val="20"/>
          <w:szCs w:val="20"/>
        </w:rPr>
        <w:t>(T), obtained from the WS Frenkel-pair populations using Eq. X.</w:t>
      </w:r>
    </w:p>
    <w:p w14:paraId="0000003E"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3F"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The resulting </w:t>
      </w:r>
      <w:proofErr w:type="spellStart"/>
      <w:r>
        <w:rPr>
          <w:rFonts w:ascii="Times New Roman" w:eastAsia="Times New Roman" w:hAnsi="Times New Roman" w:cs="Times New Roman"/>
          <w:color w:val="222222"/>
          <w:sz w:val="20"/>
          <w:szCs w:val="20"/>
        </w:rPr>
        <w:t>Cdef</w:t>
      </w:r>
      <w:proofErr w:type="spellEnd"/>
      <w:r>
        <w:rPr>
          <w:rFonts w:ascii="Times New Roman" w:eastAsia="Times New Roman" w:hAnsi="Times New Roman" w:cs="Times New Roman"/>
          <w:color w:val="222222"/>
          <w:sz w:val="20"/>
          <w:szCs w:val="20"/>
        </w:rPr>
        <w:t xml:space="preserve">(T) curves are shown in Fig. X. For the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potential, </w:t>
      </w:r>
      <w:proofErr w:type="spellStart"/>
      <w:r>
        <w:rPr>
          <w:rFonts w:ascii="Times New Roman" w:eastAsia="Times New Roman" w:hAnsi="Times New Roman" w:cs="Times New Roman"/>
          <w:color w:val="222222"/>
          <w:sz w:val="20"/>
          <w:szCs w:val="20"/>
        </w:rPr>
        <w:t>Cdef</w:t>
      </w:r>
      <w:proofErr w:type="spellEnd"/>
      <w:r>
        <w:rPr>
          <w:rFonts w:ascii="Times New Roman" w:eastAsia="Times New Roman" w:hAnsi="Times New Roman" w:cs="Times New Roman"/>
          <w:color w:val="222222"/>
          <w:sz w:val="20"/>
          <w:szCs w:val="20"/>
        </w:rPr>
        <w:t xml:space="preserve"> remains small below 2400 K but increases rapidly at the highest temperatures, reaching 3.39 J/(mol-K) at 2500 K and 9.94 J/(mol-K) at 2600 K. These values correspond to 3.4% and 9.1% of the total CP, respectively. The corresponding </w:t>
      </w:r>
      <w:proofErr w:type="spellStart"/>
      <w:r>
        <w:rPr>
          <w:rFonts w:ascii="Times New Roman" w:eastAsia="Times New Roman" w:hAnsi="Times New Roman" w:cs="Times New Roman"/>
          <w:color w:val="222222"/>
          <w:sz w:val="20"/>
          <w:szCs w:val="20"/>
        </w:rPr>
        <w:t>Canharm+def</w:t>
      </w:r>
      <w:proofErr w:type="spellEnd"/>
      <w:r>
        <w:rPr>
          <w:rFonts w:ascii="Times New Roman" w:eastAsia="Times New Roman" w:hAnsi="Times New Roman" w:cs="Times New Roman"/>
          <w:color w:val="222222"/>
          <w:sz w:val="20"/>
          <w:szCs w:val="20"/>
        </w:rPr>
        <w:t xml:space="preserve"> values are 22.78 and 29.04 J/(mol-K), so the directly counted Frenkel-pair term accounts for approximately 15% of the residual at 2500 K and 34% at 2600 K. </w:t>
      </w:r>
    </w:p>
    <w:p w14:paraId="00000040"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41"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For the Kocevski potential, </w:t>
      </w:r>
      <w:proofErr w:type="spellStart"/>
      <w:r>
        <w:rPr>
          <w:rFonts w:ascii="Times New Roman" w:eastAsia="Times New Roman" w:hAnsi="Times New Roman" w:cs="Times New Roman"/>
          <w:color w:val="222222"/>
          <w:sz w:val="20"/>
          <w:szCs w:val="20"/>
        </w:rPr>
        <w:t>Cdef</w:t>
      </w:r>
      <w:proofErr w:type="spellEnd"/>
      <w:r>
        <w:rPr>
          <w:rFonts w:ascii="Times New Roman" w:eastAsia="Times New Roman" w:hAnsi="Times New Roman" w:cs="Times New Roman"/>
          <w:color w:val="222222"/>
          <w:sz w:val="20"/>
          <w:szCs w:val="20"/>
        </w:rPr>
        <w:t xml:space="preserve"> remains much smaller, increasing from 0.61 J/(mol-K) at 2500 K to 1.30 J/(mol-K) at 2600 K. These values correspond to 0.9% and 1.8% of the total CP, respectively. The corresponding </w:t>
      </w:r>
      <w:proofErr w:type="spellStart"/>
      <w:r>
        <w:rPr>
          <w:rFonts w:ascii="Times New Roman" w:eastAsia="Times New Roman" w:hAnsi="Times New Roman" w:cs="Times New Roman"/>
          <w:color w:val="222222"/>
          <w:sz w:val="20"/>
          <w:szCs w:val="20"/>
        </w:rPr>
        <w:t>Canharm+def</w:t>
      </w:r>
      <w:proofErr w:type="spellEnd"/>
      <w:r>
        <w:rPr>
          <w:rFonts w:ascii="Times New Roman" w:eastAsia="Times New Roman" w:hAnsi="Times New Roman" w:cs="Times New Roman"/>
          <w:color w:val="222222"/>
          <w:sz w:val="20"/>
          <w:szCs w:val="20"/>
        </w:rPr>
        <w:t xml:space="preserve"> values are 4.30 and 5.05 J/(mol-K), so </w:t>
      </w:r>
      <w:proofErr w:type="spellStart"/>
      <w:r>
        <w:rPr>
          <w:rFonts w:ascii="Times New Roman" w:eastAsia="Times New Roman" w:hAnsi="Times New Roman" w:cs="Times New Roman"/>
          <w:color w:val="222222"/>
          <w:sz w:val="20"/>
          <w:szCs w:val="20"/>
        </w:rPr>
        <w:t>Cdef</w:t>
      </w:r>
      <w:proofErr w:type="spellEnd"/>
      <w:r>
        <w:rPr>
          <w:rFonts w:ascii="Times New Roman" w:eastAsia="Times New Roman" w:hAnsi="Times New Roman" w:cs="Times New Roman"/>
          <w:color w:val="222222"/>
          <w:sz w:val="20"/>
          <w:szCs w:val="20"/>
        </w:rPr>
        <w:t xml:space="preserve"> accounts for approximately 14% of the residual at 2500 K and 26% at 2600 K. Thus, although the defect term is not the entire heat capacity or the entire residual, it becomes a substantial fraction of the high-temperature nonlinear contribution.</w:t>
      </w:r>
    </w:p>
    <w:p w14:paraId="00000042"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43"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This comparison provides a possible explanation for why the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potential produces a stronger nonlinear heat-capacity response than the Kocevski potential. The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potential generates a rapidly increasing Frenkel-pair contribution at high temperature, whereas the Kocevski potential gives both a smaller residual lattice contribution and a smaller explicitly counted defect term.”</w:t>
      </w:r>
    </w:p>
    <w:p w14:paraId="00000044"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45"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b. It is recommended to estimate the lattice contribution (</w:t>
      </w:r>
      <w:proofErr w:type="spellStart"/>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color w:val="222222"/>
          <w:sz w:val="20"/>
          <w:szCs w:val="20"/>
          <w:vertAlign w:val="subscript"/>
        </w:rPr>
        <w:t>lattice</w:t>
      </w:r>
      <w:proofErr w:type="spellEnd"/>
      <w:r>
        <w:rPr>
          <w:rFonts w:ascii="Times New Roman" w:eastAsia="Times New Roman" w:hAnsi="Times New Roman" w:cs="Times New Roman"/>
          <w:b/>
          <w:bCs/>
          <w:color w:val="222222"/>
          <w:sz w:val="20"/>
          <w:szCs w:val="20"/>
        </w:rPr>
        <w:t xml:space="preserve">) by simulating a “defect-free” or “perfect” lattice at the same temperatures (e.g., by suppressing defect formation). If the </w:t>
      </w:r>
      <w:proofErr w:type="spellStart"/>
      <w:r>
        <w:rPr>
          <w:rFonts w:ascii="Times New Roman" w:eastAsia="Times New Roman" w:hAnsi="Times New Roman" w:cs="Times New Roman"/>
          <w:b/>
          <w:bCs/>
          <w:color w:val="222222"/>
          <w:sz w:val="20"/>
          <w:szCs w:val="20"/>
        </w:rPr>
        <w:t>superlinear</w:t>
      </w:r>
      <w:proofErr w:type="spellEnd"/>
      <w:r>
        <w:rPr>
          <w:rFonts w:ascii="Times New Roman" w:eastAsia="Times New Roman" w:hAnsi="Times New Roman" w:cs="Times New Roman"/>
          <w:b/>
          <w:bCs/>
          <w:color w:val="222222"/>
          <w:sz w:val="20"/>
          <w:szCs w:val="20"/>
        </w:rPr>
        <w:t xml:space="preserve"> curvature remains dominant in the total </w:t>
      </w:r>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i/>
          <w:iCs/>
          <w:color w:val="222222"/>
          <w:sz w:val="20"/>
          <w:szCs w:val="20"/>
          <w:vertAlign w:val="subscript"/>
        </w:rPr>
        <w:t>P</w:t>
      </w:r>
      <w:r>
        <w:rPr>
          <w:rFonts w:ascii="Times New Roman" w:eastAsia="Times New Roman" w:hAnsi="Times New Roman" w:cs="Times New Roman"/>
          <w:b/>
          <w:bCs/>
          <w:color w:val="222222"/>
          <w:sz w:val="20"/>
          <w:szCs w:val="20"/>
        </w:rPr>
        <w:t xml:space="preserve"> even after accounting for the anharmonic baseline, it </w:t>
      </w:r>
      <w:proofErr w:type="gramStart"/>
      <w:r>
        <w:rPr>
          <w:rFonts w:ascii="Times New Roman" w:eastAsia="Times New Roman" w:hAnsi="Times New Roman" w:cs="Times New Roman"/>
          <w:b/>
          <w:bCs/>
          <w:color w:val="222222"/>
          <w:sz w:val="20"/>
          <w:szCs w:val="20"/>
        </w:rPr>
        <w:t>would</w:t>
      </w:r>
      <w:proofErr w:type="gramEnd"/>
      <w:r>
        <w:rPr>
          <w:rFonts w:ascii="Times New Roman" w:eastAsia="Times New Roman" w:hAnsi="Times New Roman" w:cs="Times New Roman"/>
          <w:b/>
          <w:bCs/>
          <w:color w:val="222222"/>
          <w:sz w:val="20"/>
          <w:szCs w:val="20"/>
        </w:rPr>
        <w:t xml:space="preserve"> provide definitive proof that defects are the primary driver.</w:t>
      </w:r>
    </w:p>
    <w:p w14:paraId="00000046" w14:textId="77777777" w:rsidR="00FF5F56" w:rsidRDefault="00000000">
      <w:pPr>
        <w:shd w:val="clear" w:color="auto" w:fill="FFFFFF"/>
        <w:spacing w:before="240" w:after="240"/>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We agree that a defect-free lattice baseline would be useful in principle. However, suppressing Frenkel-pair formation in high-temperature MD would require artificial constraints on atomic motion or site occupancy. Such constraints would modify the thermodynamic ensemble and could also alter the anharmonic lattice dynamics. Instead, we used the heat-capacity decomposition and defined the residual term as stated previously. We label this residual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anharm+def</w:t>
      </w:r>
      <w:proofErr w:type="spellEnd"/>
      <w:r>
        <w:rPr>
          <w:rFonts w:ascii="Times New Roman" w:eastAsia="Times New Roman" w:hAnsi="Times New Roman" w:cs="Times New Roman"/>
          <w:color w:val="222222"/>
          <w:sz w:val="20"/>
          <w:szCs w:val="20"/>
        </w:rPr>
        <w:t xml:space="preserve">​, because spontaneous defect formation is allowed in the MD trajectories. This provides a scale comparison between the explicitly counted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def</w:t>
      </w:r>
      <w:proofErr w:type="spellEnd"/>
      <w:r>
        <w:rPr>
          <w:rFonts w:ascii="Times New Roman" w:eastAsia="Times New Roman" w:hAnsi="Times New Roman" w:cs="Times New Roman"/>
          <w:color w:val="222222"/>
          <w:sz w:val="20"/>
          <w:szCs w:val="20"/>
        </w:rPr>
        <w:t xml:space="preserve"> and the residual nonlinear lattice response without imposing nonphysical constraints.</w:t>
      </w:r>
    </w:p>
    <w:p w14:paraId="00000047"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5. Provide a brief discussion or a figure showing the correlation between the onset temperature of nitrogen mobility (Fig. 1a) and the temperature where C</w:t>
      </w:r>
      <w:r>
        <w:rPr>
          <w:rFonts w:ascii="Times New Roman" w:eastAsia="Times New Roman" w:hAnsi="Times New Roman" w:cs="Times New Roman"/>
          <w:b/>
          <w:bCs/>
          <w:color w:val="222222"/>
          <w:sz w:val="20"/>
          <w:szCs w:val="20"/>
          <w:vertAlign w:val="subscript"/>
        </w:rPr>
        <w:t>P</w:t>
      </w:r>
      <w:r>
        <w:rPr>
          <w:rFonts w:ascii="Times New Roman" w:eastAsia="Times New Roman" w:hAnsi="Times New Roman" w:cs="Times New Roman"/>
          <w:b/>
          <w:bCs/>
          <w:color w:val="222222"/>
          <w:sz w:val="20"/>
          <w:szCs w:val="20"/>
        </w:rPr>
        <w:t xml:space="preserve"> starts to deviate from linearity. Demonstrating that these two phenomena occur simultaneously will substantiate the “intrinsic mechanism” hypothesis.</w:t>
      </w:r>
    </w:p>
    <w:p w14:paraId="00000048"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49"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Thank you for this suggestion. We have added a brief discussion emphasizing the correlation between the onset of nitrogen mobility and the onset of nonlinear heat-capacity growth. The following paragraph has been added to the Results section:</w:t>
      </w:r>
    </w:p>
    <w:p w14:paraId="0000004A"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“The onset of nitrogen mobility also coincides with the onset of nonlinear heat-capacity growth. As shown in Fig. X, D</w:t>
      </w:r>
      <w:r>
        <w:rPr>
          <w:rFonts w:ascii="Times New Roman" w:eastAsia="Times New Roman" w:hAnsi="Times New Roman" w:cs="Times New Roman"/>
          <w:color w:val="222222"/>
          <w:sz w:val="20"/>
          <w:szCs w:val="20"/>
          <w:vertAlign w:val="subscript"/>
        </w:rPr>
        <w:t>N</w:t>
      </w:r>
      <w:r>
        <w:rPr>
          <w:rFonts w:ascii="Times New Roman" w:eastAsia="Times New Roman" w:hAnsi="Times New Roman" w:cs="Times New Roman"/>
          <w:color w:val="222222"/>
          <w:sz w:val="20"/>
          <w:szCs w:val="20"/>
        </w:rPr>
        <w:t xml:space="preserve"> remains negligible below approximately 1800 K and then increases rapidly above 1800–1900 K. The Frenkel-pair concentration follows the same trend, indicating that nitrogen transport is coupled to spontaneous anion-disorder formation. This temperature range overlaps with the onset of nonlinear growth in the Hayes heat-capacity correlation and with the high-temperature departure from lower-temperature behavior in the AIMD+DLM results. This correspondence supports the interpretation that nitrogen Frenkel-pair formation and anion-sublattice disorder contribute to the intrinsic nonlinear component of C</w:t>
      </w:r>
      <w:r>
        <w:rPr>
          <w:rFonts w:ascii="Times New Roman" w:eastAsia="Times New Roman" w:hAnsi="Times New Roman" w:cs="Times New Roman"/>
          <w:color w:val="222222"/>
          <w:sz w:val="20"/>
          <w:szCs w:val="20"/>
          <w:vertAlign w:val="subscript"/>
        </w:rPr>
        <w:t>P</w:t>
      </w:r>
      <w:r>
        <w:rPr>
          <w:rFonts w:ascii="Times New Roman" w:eastAsia="Times New Roman" w:hAnsi="Times New Roman" w:cs="Times New Roman"/>
          <w:color w:val="222222"/>
          <w:sz w:val="20"/>
          <w:szCs w:val="20"/>
        </w:rPr>
        <w:t>(T) in UN.”</w:t>
      </w:r>
    </w:p>
    <w:p w14:paraId="0000004B"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4C"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6. Electronic Contribution: Since UN is metallic, electronic heat capacity (C</w:t>
      </w:r>
      <w:r>
        <w:rPr>
          <w:rFonts w:ascii="Times New Roman" w:eastAsia="Times New Roman" w:hAnsi="Times New Roman" w:cs="Times New Roman"/>
          <w:b/>
          <w:bCs/>
          <w:color w:val="222222"/>
          <w:sz w:val="20"/>
          <w:szCs w:val="20"/>
          <w:vertAlign w:val="subscript"/>
        </w:rPr>
        <w:t>el</w:t>
      </w:r>
      <w:r>
        <w:rPr>
          <w:rFonts w:ascii="Times New Roman" w:eastAsia="Times New Roman" w:hAnsi="Times New Roman" w:cs="Times New Roman"/>
          <w:b/>
          <w:bCs/>
          <w:color w:val="222222"/>
          <w:sz w:val="20"/>
          <w:szCs w:val="20"/>
        </w:rPr>
        <w:t>) also plays a role at 2600 K. A brief comment on why the ionic defect contribution is considered the dominant driver over electronic effects would strengthen the Discussion.</w:t>
      </w:r>
    </w:p>
    <w:p w14:paraId="0000004D"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0000004E"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Thank you for this comment. We have added a short discussion of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elec</w:t>
      </w:r>
      <w:proofErr w:type="spellEnd"/>
      <w:r>
        <w:rPr>
          <w:rFonts w:ascii="Times New Roman" w:eastAsia="Times New Roman" w:hAnsi="Times New Roman" w:cs="Times New Roman"/>
          <w:color w:val="222222"/>
          <w:sz w:val="20"/>
          <w:szCs w:val="20"/>
        </w:rPr>
        <w:t>. The following paragraph has been added to the Results section:</w:t>
      </w:r>
    </w:p>
    <w:p w14:paraId="0000004F"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Because UN is metallic, $C_{\</w:t>
      </w:r>
      <w:proofErr w:type="spellStart"/>
      <w:r>
        <w:rPr>
          <w:rFonts w:ascii="Times New Roman" w:eastAsia="Times New Roman" w:hAnsi="Times New Roman" w:cs="Times New Roman"/>
          <w:color w:val="222222"/>
          <w:sz w:val="20"/>
          <w:szCs w:val="20"/>
        </w:rPr>
        <w:t>mathrm</w:t>
      </w:r>
      <w:proofErr w:type="spellEnd"/>
      <w:r>
        <w:rPr>
          <w:rFonts w:ascii="Times New Roman" w:eastAsia="Times New Roman" w:hAnsi="Times New Roman" w:cs="Times New Roman"/>
          <w:color w:val="222222"/>
          <w:sz w:val="20"/>
          <w:szCs w:val="20"/>
        </w:rPr>
        <w:t>{</w:t>
      </w:r>
      <w:proofErr w:type="spellStart"/>
      <w:r>
        <w:rPr>
          <w:rFonts w:ascii="Times New Roman" w:eastAsia="Times New Roman" w:hAnsi="Times New Roman" w:cs="Times New Roman"/>
          <w:color w:val="222222"/>
          <w:sz w:val="20"/>
          <w:szCs w:val="20"/>
        </w:rPr>
        <w:t>elec</w:t>
      </w:r>
      <w:proofErr w:type="spellEnd"/>
      <w:proofErr w:type="gramStart"/>
      <w:r>
        <w:rPr>
          <w:rFonts w:ascii="Times New Roman" w:eastAsia="Times New Roman" w:hAnsi="Times New Roman" w:cs="Times New Roman"/>
          <w:color w:val="222222"/>
          <w:sz w:val="20"/>
          <w:szCs w:val="20"/>
        </w:rPr>
        <w:t>}}$</w:t>
      </w:r>
      <w:proofErr w:type="gramEnd"/>
      <w:r>
        <w:rPr>
          <w:rFonts w:ascii="Times New Roman" w:eastAsia="Times New Roman" w:hAnsi="Times New Roman" w:cs="Times New Roman"/>
          <w:color w:val="222222"/>
          <w:sz w:val="20"/>
          <w:szCs w:val="20"/>
        </w:rPr>
        <w:t xml:space="preserve"> is not negligible. Using $C_{\</w:t>
      </w:r>
      <w:proofErr w:type="spellStart"/>
      <w:r>
        <w:rPr>
          <w:rFonts w:ascii="Times New Roman" w:eastAsia="Times New Roman" w:hAnsi="Times New Roman" w:cs="Times New Roman"/>
          <w:color w:val="222222"/>
          <w:sz w:val="20"/>
          <w:szCs w:val="20"/>
        </w:rPr>
        <w:t>mathrm</w:t>
      </w:r>
      <w:proofErr w:type="spellEnd"/>
      <w:r>
        <w:rPr>
          <w:rFonts w:ascii="Times New Roman" w:eastAsia="Times New Roman" w:hAnsi="Times New Roman" w:cs="Times New Roman"/>
          <w:color w:val="222222"/>
          <w:sz w:val="20"/>
          <w:szCs w:val="20"/>
        </w:rPr>
        <w:t>{</w:t>
      </w:r>
      <w:proofErr w:type="spellStart"/>
      <w:r>
        <w:rPr>
          <w:rFonts w:ascii="Times New Roman" w:eastAsia="Times New Roman" w:hAnsi="Times New Roman" w:cs="Times New Roman"/>
          <w:color w:val="222222"/>
          <w:sz w:val="20"/>
          <w:szCs w:val="20"/>
        </w:rPr>
        <w:t>elec</w:t>
      </w:r>
      <w:proofErr w:type="spellEnd"/>
      <w:proofErr w:type="gramStart"/>
      <w:r>
        <w:rPr>
          <w:rFonts w:ascii="Times New Roman" w:eastAsia="Times New Roman" w:hAnsi="Times New Roman" w:cs="Times New Roman"/>
          <w:color w:val="222222"/>
          <w:sz w:val="20"/>
          <w:szCs w:val="20"/>
        </w:rPr>
        <w:t>}}=</w:t>
      </w:r>
      <w:proofErr w:type="gramEnd"/>
      <w:r>
        <w:rPr>
          <w:rFonts w:ascii="Times New Roman" w:eastAsia="Times New Roman" w:hAnsi="Times New Roman" w:cs="Times New Roman"/>
          <w:color w:val="222222"/>
          <w:sz w:val="20"/>
          <w:szCs w:val="20"/>
        </w:rPr>
        <w:t>\gamma T$, with $\gamma=3.7\times10^{-</w:t>
      </w:r>
      <w:proofErr w:type="gramStart"/>
      <w:r>
        <w:rPr>
          <w:rFonts w:ascii="Times New Roman" w:eastAsia="Times New Roman" w:hAnsi="Times New Roman" w:cs="Times New Roman"/>
          <w:color w:val="222222"/>
          <w:sz w:val="20"/>
          <w:szCs w:val="20"/>
        </w:rPr>
        <w:t>3}$</w:t>
      </w:r>
      <w:proofErr w:type="gramEnd"/>
      <w:r>
        <w:rPr>
          <w:rFonts w:ascii="Times New Roman" w:eastAsia="Times New Roman" w:hAnsi="Times New Roman" w:cs="Times New Roman"/>
          <w:color w:val="222222"/>
          <w:sz w:val="20"/>
          <w:szCs w:val="20"/>
        </w:rPr>
        <w:t>~</w:t>
      </w:r>
      <w:proofErr w:type="spellStart"/>
      <w:r>
        <w:rPr>
          <w:rFonts w:ascii="Times New Roman" w:eastAsia="Times New Roman" w:hAnsi="Times New Roman" w:cs="Times New Roman"/>
          <w:color w:val="222222"/>
          <w:sz w:val="20"/>
          <w:szCs w:val="20"/>
        </w:rPr>
        <w:t>J~mol</w:t>
      </w:r>
      <w:proofErr w:type="spellEnd"/>
      <w:r>
        <w:rPr>
          <w:rFonts w:ascii="Times New Roman" w:eastAsia="Times New Roman" w:hAnsi="Times New Roman" w:cs="Times New Roman"/>
          <w:color w:val="222222"/>
          <w:sz w:val="20"/>
          <w:szCs w:val="20"/>
        </w:rPr>
        <w:t>$^{-</w:t>
      </w:r>
      <w:proofErr w:type="gramStart"/>
      <w:r>
        <w:rPr>
          <w:rFonts w:ascii="Times New Roman" w:eastAsia="Times New Roman" w:hAnsi="Times New Roman" w:cs="Times New Roman"/>
          <w:color w:val="222222"/>
          <w:sz w:val="20"/>
          <w:szCs w:val="20"/>
        </w:rPr>
        <w:t>1}$</w:t>
      </w:r>
      <w:proofErr w:type="gramEnd"/>
      <w:r>
        <w:rPr>
          <w:rFonts w:ascii="Times New Roman" w:eastAsia="Times New Roman" w:hAnsi="Times New Roman" w:cs="Times New Roman"/>
          <w:color w:val="222222"/>
          <w:sz w:val="20"/>
          <w:szCs w:val="20"/>
        </w:rPr>
        <w:t>~K$</w:t>
      </w:r>
      <w:proofErr w:type="gramStart"/>
      <w:r>
        <w:rPr>
          <w:rFonts w:ascii="Times New Roman" w:eastAsia="Times New Roman" w:hAnsi="Times New Roman" w:cs="Times New Roman"/>
          <w:color w:val="222222"/>
          <w:sz w:val="20"/>
          <w:szCs w:val="20"/>
        </w:rPr>
        <w:t>^{</w:t>
      </w:r>
      <w:proofErr w:type="gramEnd"/>
      <w:r>
        <w:rPr>
          <w:rFonts w:ascii="Times New Roman" w:eastAsia="Times New Roman" w:hAnsi="Times New Roman" w:cs="Times New Roman"/>
          <w:color w:val="222222"/>
          <w:sz w:val="20"/>
          <w:szCs w:val="20"/>
        </w:rPr>
        <w:t>-</w:t>
      </w:r>
      <w:proofErr w:type="gramStart"/>
      <w:r>
        <w:rPr>
          <w:rFonts w:ascii="Times New Roman" w:eastAsia="Times New Roman" w:hAnsi="Times New Roman" w:cs="Times New Roman"/>
          <w:color w:val="222222"/>
          <w:sz w:val="20"/>
          <w:szCs w:val="20"/>
        </w:rPr>
        <w:t>2}$</w:t>
      </w:r>
      <w:proofErr w:type="gramEnd"/>
      <w:r>
        <w:rPr>
          <w:rFonts w:ascii="Times New Roman" w:eastAsia="Times New Roman" w:hAnsi="Times New Roman" w:cs="Times New Roman"/>
          <w:color w:val="222222"/>
          <w:sz w:val="20"/>
          <w:szCs w:val="20"/>
        </w:rPr>
        <w:t xml:space="preserve"> \</w:t>
      </w:r>
      <w:proofErr w:type="gramStart"/>
      <w:r>
        <w:rPr>
          <w:rFonts w:ascii="Times New Roman" w:eastAsia="Times New Roman" w:hAnsi="Times New Roman" w:cs="Times New Roman"/>
          <w:color w:val="222222"/>
          <w:sz w:val="20"/>
          <w:szCs w:val="20"/>
        </w:rPr>
        <w:t>cite{</w:t>
      </w:r>
      <w:proofErr w:type="gramEnd"/>
      <w:r>
        <w:rPr>
          <w:rFonts w:ascii="Times New Roman" w:eastAsia="Times New Roman" w:hAnsi="Times New Roman" w:cs="Times New Roman"/>
          <w:color w:val="222222"/>
          <w:sz w:val="20"/>
          <w:szCs w:val="20"/>
        </w:rPr>
        <w:t>Samsel2007}, gives $C_{\</w:t>
      </w:r>
      <w:proofErr w:type="spellStart"/>
      <w:r>
        <w:rPr>
          <w:rFonts w:ascii="Times New Roman" w:eastAsia="Times New Roman" w:hAnsi="Times New Roman" w:cs="Times New Roman"/>
          <w:color w:val="222222"/>
          <w:sz w:val="20"/>
          <w:szCs w:val="20"/>
        </w:rPr>
        <w:t>mathrm</w:t>
      </w:r>
      <w:proofErr w:type="spellEnd"/>
      <w:r>
        <w:rPr>
          <w:rFonts w:ascii="Times New Roman" w:eastAsia="Times New Roman" w:hAnsi="Times New Roman" w:cs="Times New Roman"/>
          <w:color w:val="222222"/>
          <w:sz w:val="20"/>
          <w:szCs w:val="20"/>
        </w:rPr>
        <w:t>{</w:t>
      </w:r>
      <w:proofErr w:type="spellStart"/>
      <w:r>
        <w:rPr>
          <w:rFonts w:ascii="Times New Roman" w:eastAsia="Times New Roman" w:hAnsi="Times New Roman" w:cs="Times New Roman"/>
          <w:color w:val="222222"/>
          <w:sz w:val="20"/>
          <w:szCs w:val="20"/>
        </w:rPr>
        <w:t>elec</w:t>
      </w:r>
      <w:proofErr w:type="spellEnd"/>
      <w:proofErr w:type="gramStart"/>
      <w:r>
        <w:rPr>
          <w:rFonts w:ascii="Times New Roman" w:eastAsia="Times New Roman" w:hAnsi="Times New Roman" w:cs="Times New Roman"/>
          <w:color w:val="222222"/>
          <w:sz w:val="20"/>
          <w:szCs w:val="20"/>
        </w:rPr>
        <w:t>}}\</w:t>
      </w:r>
      <w:proofErr w:type="spellStart"/>
      <w:proofErr w:type="gramEnd"/>
      <w:r>
        <w:rPr>
          <w:rFonts w:ascii="Times New Roman" w:eastAsia="Times New Roman" w:hAnsi="Times New Roman" w:cs="Times New Roman"/>
          <w:color w:val="222222"/>
          <w:sz w:val="20"/>
          <w:szCs w:val="20"/>
        </w:rPr>
        <w:t>approx</w:t>
      </w:r>
      <w:proofErr w:type="spellEnd"/>
      <w:r>
        <w:rPr>
          <w:rFonts w:ascii="Times New Roman" w:eastAsia="Times New Roman" w:hAnsi="Times New Roman" w:cs="Times New Roman"/>
          <w:color w:val="222222"/>
          <w:sz w:val="20"/>
          <w:szCs w:val="20"/>
        </w:rPr>
        <w:t xml:space="preserve"> 9.6$~J/(mol-K) at 2600~K. However, this contribution is linear in $T$, whereas the </w:t>
      </w:r>
      <w:proofErr w:type="gramStart"/>
      <w:r>
        <w:rPr>
          <w:rFonts w:ascii="Times New Roman" w:eastAsia="Times New Roman" w:hAnsi="Times New Roman" w:cs="Times New Roman"/>
          <w:color w:val="222222"/>
          <w:sz w:val="20"/>
          <w:szCs w:val="20"/>
        </w:rPr>
        <w:t>high-temperature</w:t>
      </w:r>
      <w:proofErr w:type="gramEnd"/>
      <w:r>
        <w:rPr>
          <w:rFonts w:ascii="Times New Roman" w:eastAsia="Times New Roman" w:hAnsi="Times New Roman" w:cs="Times New Roman"/>
          <w:color w:val="222222"/>
          <w:sz w:val="20"/>
          <w:szCs w:val="20"/>
        </w:rPr>
        <w:t xml:space="preserve"> increase in </w:t>
      </w:r>
      <w:r>
        <w:rPr>
          <w:rFonts w:ascii="Times New Roman" w:eastAsia="Times New Roman" w:hAnsi="Times New Roman" w:cs="Times New Roman"/>
          <w:color w:val="222222"/>
          <w:sz w:val="20"/>
          <w:szCs w:val="20"/>
        </w:rPr>
        <w:lastRenderedPageBreak/>
        <w:t>$C_P$ is strongly nonlinear. Therefore, $C_{\</w:t>
      </w:r>
      <w:proofErr w:type="spellStart"/>
      <w:r>
        <w:rPr>
          <w:rFonts w:ascii="Times New Roman" w:eastAsia="Times New Roman" w:hAnsi="Times New Roman" w:cs="Times New Roman"/>
          <w:color w:val="222222"/>
          <w:sz w:val="20"/>
          <w:szCs w:val="20"/>
        </w:rPr>
        <w:t>mathrm</w:t>
      </w:r>
      <w:proofErr w:type="spellEnd"/>
      <w:r>
        <w:rPr>
          <w:rFonts w:ascii="Times New Roman" w:eastAsia="Times New Roman" w:hAnsi="Times New Roman" w:cs="Times New Roman"/>
          <w:color w:val="222222"/>
          <w:sz w:val="20"/>
          <w:szCs w:val="20"/>
        </w:rPr>
        <w:t>{</w:t>
      </w:r>
      <w:proofErr w:type="spellStart"/>
      <w:r>
        <w:rPr>
          <w:rFonts w:ascii="Times New Roman" w:eastAsia="Times New Roman" w:hAnsi="Times New Roman" w:cs="Times New Roman"/>
          <w:color w:val="222222"/>
          <w:sz w:val="20"/>
          <w:szCs w:val="20"/>
        </w:rPr>
        <w:t>elec</w:t>
      </w:r>
      <w:proofErr w:type="spellEnd"/>
      <w:proofErr w:type="gramStart"/>
      <w:r>
        <w:rPr>
          <w:rFonts w:ascii="Times New Roman" w:eastAsia="Times New Roman" w:hAnsi="Times New Roman" w:cs="Times New Roman"/>
          <w:color w:val="222222"/>
          <w:sz w:val="20"/>
          <w:szCs w:val="20"/>
        </w:rPr>
        <w:t>}}$</w:t>
      </w:r>
      <w:proofErr w:type="gramEnd"/>
      <w:r>
        <w:rPr>
          <w:rFonts w:ascii="Times New Roman" w:eastAsia="Times New Roman" w:hAnsi="Times New Roman" w:cs="Times New Roman"/>
          <w:color w:val="222222"/>
          <w:sz w:val="20"/>
          <w:szCs w:val="20"/>
        </w:rPr>
        <w:t xml:space="preserve"> can shift the magnitude of $C_P$, but it cannot explain the curvature.</w:t>
      </w:r>
    </w:p>
    <w:p w14:paraId="00000050"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51"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 xml:space="preserve">7. Real UN samples often exhibit a slight nitrogen deficiency or excess. Please briefly discuss how pre-existing </w:t>
      </w:r>
      <w:proofErr w:type="gramStart"/>
      <w:r>
        <w:rPr>
          <w:rFonts w:ascii="Times New Roman" w:eastAsia="Times New Roman" w:hAnsi="Times New Roman" w:cs="Times New Roman"/>
          <w:b/>
          <w:bCs/>
          <w:color w:val="222222"/>
          <w:sz w:val="20"/>
          <w:szCs w:val="20"/>
        </w:rPr>
        <w:t>off-stoichiometry</w:t>
      </w:r>
      <w:proofErr w:type="gramEnd"/>
      <w:r>
        <w:rPr>
          <w:rFonts w:ascii="Times New Roman" w:eastAsia="Times New Roman" w:hAnsi="Times New Roman" w:cs="Times New Roman"/>
          <w:b/>
          <w:bCs/>
          <w:color w:val="222222"/>
          <w:sz w:val="20"/>
          <w:szCs w:val="20"/>
        </w:rPr>
        <w:t xml:space="preserve"> might enhance or suppress the onset of the sublattice disordering described in this work.</w:t>
      </w:r>
    </w:p>
    <w:p w14:paraId="00000052"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53"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We added this point to the Discussion section as a model limitation and future-work direction:</w:t>
      </w:r>
    </w:p>
    <w:p w14:paraId="00000054"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“Another limitation is that the present simulations consider only stoichiometric UN. Real samples may deviate slightly from ideal stoichiometry, which could shift the onset of anion-sublattice disorder. Nitrogen-deficient UN contains pre-existing nitrogen vacancies that may enhance vacancy-mediated transport, while nitrogen-rich UN may favor interstitial-type disorder. Quantifying these effects requires dedicated off-stoichiometric simulations and is left for future work.”</w:t>
      </w:r>
    </w:p>
    <w:p w14:paraId="00000055"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color w:val="222222"/>
          <w:sz w:val="20"/>
          <w:szCs w:val="20"/>
        </w:rPr>
        <w:br/>
      </w:r>
      <w:r>
        <w:rPr>
          <w:rFonts w:ascii="Times New Roman" w:eastAsia="Times New Roman" w:hAnsi="Times New Roman" w:cs="Times New Roman"/>
          <w:b/>
          <w:bCs/>
          <w:color w:val="222222"/>
          <w:sz w:val="20"/>
          <w:szCs w:val="20"/>
        </w:rPr>
        <w:t>Reviewer #2:</w:t>
      </w:r>
    </w:p>
    <w:p w14:paraId="00000056" w14:textId="77777777" w:rsidR="00FF5F56" w:rsidRDefault="00FF5F56">
      <w:pPr>
        <w:shd w:val="clear" w:color="auto" w:fill="FFFFFF"/>
        <w:jc w:val="both"/>
        <w:rPr>
          <w:rFonts w:ascii="Times New Roman" w:eastAsia="Times New Roman" w:hAnsi="Times New Roman" w:cs="Times New Roman"/>
          <w:b/>
          <w:bCs/>
          <w:color w:val="222222"/>
          <w:sz w:val="20"/>
          <w:szCs w:val="20"/>
        </w:rPr>
      </w:pPr>
    </w:p>
    <w:p w14:paraId="38607B33" w14:textId="77777777" w:rsidR="00A30BA9"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t>This paper is generally good—concise, clean, and the story is brief yet clear and complete. I have just a few questions and would appreciate brief, clear responses:</w:t>
      </w:r>
    </w:p>
    <w:p w14:paraId="00000057" w14:textId="68632F76"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b/>
          <w:bCs/>
          <w:color w:val="222222"/>
          <w:sz w:val="20"/>
          <w:szCs w:val="20"/>
        </w:rPr>
        <w:br/>
        <w:t>1. Fig 1b, I noticed that the error bars for Kocevski potential &lt; 2100 K are abnormally long below. Is that just standard deviation? In my opinion, the error bar should be symmetric.</w:t>
      </w:r>
    </w:p>
    <w:p w14:paraId="00000058"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59" w14:textId="77777777" w:rsidR="00FF5F56" w:rsidRDefault="00000000">
      <w:pPr>
        <w:shd w:val="clear" w:color="auto" w:fill="FFFFFF"/>
        <w:jc w:val="both"/>
        <w:rPr>
          <w:rFonts w:ascii="Times New Roman" w:eastAsia="Times New Roman" w:hAnsi="Times New Roman" w:cs="Times New Roman"/>
          <w:b/>
          <w:bCs/>
          <w:color w:val="222222"/>
          <w:sz w:val="20"/>
          <w:szCs w:val="20"/>
        </w:rPr>
      </w:pPr>
      <w:r>
        <w:rPr>
          <w:rFonts w:ascii="Times New Roman" w:eastAsia="Times New Roman" w:hAnsi="Times New Roman" w:cs="Times New Roman"/>
          <w:color w:val="222222"/>
          <w:sz w:val="20"/>
          <w:szCs w:val="20"/>
        </w:rPr>
        <w:t>These error bars are the temporal standard deviations of the WS defect concentrations over the sampled configurations. They were applied symmetrically in linear concentration units, but because Fig. 1b uses a logarithmic axis, they appear asymmetric visually. At low Kocevski defect concentrations, the standard deviation can also exceed the mean because many snapshots contain zero or very few Frenkel pairs. We revised the Fig. 1 caption to state that: “error bars represent one temporal standard deviation in linear concentration units and may appear asymmetric on the logarithmic scale.”</w:t>
      </w:r>
      <w:r>
        <w:rPr>
          <w:rFonts w:ascii="Times New Roman" w:eastAsia="Times New Roman" w:hAnsi="Times New Roman" w:cs="Times New Roman"/>
          <w:color w:val="222222"/>
          <w:sz w:val="20"/>
          <w:szCs w:val="20"/>
        </w:rPr>
        <w:br/>
      </w:r>
      <w:r>
        <w:rPr>
          <w:rFonts w:ascii="Times New Roman" w:eastAsia="Times New Roman" w:hAnsi="Times New Roman" w:cs="Times New Roman"/>
          <w:color w:val="222222"/>
          <w:sz w:val="20"/>
          <w:szCs w:val="20"/>
        </w:rPr>
        <w:br/>
      </w:r>
      <w:r>
        <w:rPr>
          <w:rFonts w:ascii="Times New Roman" w:eastAsia="Times New Roman" w:hAnsi="Times New Roman" w:cs="Times New Roman"/>
          <w:b/>
          <w:bCs/>
          <w:color w:val="222222"/>
          <w:sz w:val="20"/>
          <w:szCs w:val="20"/>
        </w:rPr>
        <w:t>2. Page 4, Eq. 2, “Fitting an Arrhenius form… yields an effective activation energy.” I think it will be better to add a reference here about why to use this form for the concentration relation. Although I think this form is very well-known and common, I personally still suggest adding one reference.</w:t>
      </w:r>
    </w:p>
    <w:p w14:paraId="0000005A"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E4CC9E0" w14:textId="47241B67" w:rsidR="001837C9"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A reference ha</w:t>
      </w:r>
      <w:r w:rsidR="00320C0B">
        <w:rPr>
          <w:rFonts w:ascii="Times New Roman" w:eastAsia="Times New Roman" w:hAnsi="Times New Roman" w:cs="Times New Roman"/>
          <w:color w:val="222222"/>
          <w:sz w:val="20"/>
          <w:szCs w:val="20"/>
        </w:rPr>
        <w:t>s</w:t>
      </w:r>
      <w:r>
        <w:rPr>
          <w:rFonts w:ascii="Times New Roman" w:eastAsia="Times New Roman" w:hAnsi="Times New Roman" w:cs="Times New Roman"/>
          <w:color w:val="222222"/>
          <w:sz w:val="20"/>
          <w:szCs w:val="20"/>
        </w:rPr>
        <w:t xml:space="preserve"> been added.</w:t>
      </w:r>
    </w:p>
    <w:p w14:paraId="0000005B" w14:textId="32E93CE4" w:rsidR="00FF5F56" w:rsidRPr="001837C9"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br/>
      </w:r>
      <w:r>
        <w:rPr>
          <w:rFonts w:ascii="Times New Roman" w:eastAsia="Times New Roman" w:hAnsi="Times New Roman" w:cs="Times New Roman"/>
          <w:b/>
          <w:bCs/>
          <w:color w:val="222222"/>
          <w:sz w:val="20"/>
          <w:szCs w:val="20"/>
        </w:rPr>
        <w:t xml:space="preserve">3. Page 4 Eq. 3, is the </w:t>
      </w:r>
      <w:proofErr w:type="spellStart"/>
      <w:r>
        <w:rPr>
          <w:rFonts w:ascii="Times New Roman" w:eastAsia="Times New Roman" w:hAnsi="Times New Roman" w:cs="Times New Roman"/>
          <w:b/>
          <w:bCs/>
          <w:i/>
          <w:iCs/>
          <w:color w:val="222222"/>
          <w:sz w:val="20"/>
          <w:szCs w:val="20"/>
        </w:rPr>
        <w:t>n</w:t>
      </w:r>
      <w:r>
        <w:rPr>
          <w:rFonts w:ascii="Times New Roman" w:eastAsia="Times New Roman" w:hAnsi="Times New Roman" w:cs="Times New Roman"/>
          <w:b/>
          <w:bCs/>
          <w:color w:val="222222"/>
          <w:sz w:val="20"/>
          <w:szCs w:val="20"/>
          <w:vertAlign w:val="subscript"/>
        </w:rPr>
        <w:t>FP</w:t>
      </w:r>
      <w:proofErr w:type="spellEnd"/>
      <w:r>
        <w:rPr>
          <w:rFonts w:ascii="Times New Roman" w:eastAsia="Times New Roman" w:hAnsi="Times New Roman" w:cs="Times New Roman"/>
          <w:b/>
          <w:bCs/>
          <w:color w:val="222222"/>
          <w:sz w:val="20"/>
          <w:szCs w:val="20"/>
        </w:rPr>
        <w:t xml:space="preserve"> the total number of FP or volumetric density? What's the relationship between </w:t>
      </w:r>
      <w:proofErr w:type="spellStart"/>
      <w:r>
        <w:rPr>
          <w:rFonts w:ascii="Times New Roman" w:eastAsia="Times New Roman" w:hAnsi="Times New Roman" w:cs="Times New Roman"/>
          <w:b/>
          <w:bCs/>
          <w:i/>
          <w:iCs/>
          <w:color w:val="222222"/>
          <w:sz w:val="20"/>
          <w:szCs w:val="20"/>
        </w:rPr>
        <w:t>n</w:t>
      </w:r>
      <w:r>
        <w:rPr>
          <w:rFonts w:ascii="Times New Roman" w:eastAsia="Times New Roman" w:hAnsi="Times New Roman" w:cs="Times New Roman"/>
          <w:b/>
          <w:bCs/>
          <w:color w:val="222222"/>
          <w:sz w:val="20"/>
          <w:szCs w:val="20"/>
          <w:vertAlign w:val="subscript"/>
        </w:rPr>
        <w:t>FP</w:t>
      </w:r>
      <w:proofErr w:type="spellEnd"/>
      <w:r>
        <w:rPr>
          <w:rFonts w:ascii="Times New Roman" w:eastAsia="Times New Roman" w:hAnsi="Times New Roman" w:cs="Times New Roman"/>
          <w:b/>
          <w:bCs/>
          <w:color w:val="222222"/>
          <w:sz w:val="20"/>
          <w:szCs w:val="20"/>
        </w:rPr>
        <w:t xml:space="preserve"> and </w:t>
      </w:r>
      <w:proofErr w:type="spellStart"/>
      <w:r>
        <w:rPr>
          <w:rFonts w:ascii="Times New Roman" w:eastAsia="Times New Roman" w:hAnsi="Times New Roman" w:cs="Times New Roman"/>
          <w:b/>
          <w:bCs/>
          <w:i/>
          <w:iCs/>
          <w:color w:val="222222"/>
          <w:sz w:val="20"/>
          <w:szCs w:val="20"/>
        </w:rPr>
        <w:t>c</w:t>
      </w:r>
      <w:r>
        <w:rPr>
          <w:rFonts w:ascii="Times New Roman" w:eastAsia="Times New Roman" w:hAnsi="Times New Roman" w:cs="Times New Roman"/>
          <w:b/>
          <w:bCs/>
          <w:color w:val="222222"/>
          <w:sz w:val="20"/>
          <w:szCs w:val="20"/>
          <w:vertAlign w:val="subscript"/>
        </w:rPr>
        <w:t>FP</w:t>
      </w:r>
      <w:proofErr w:type="spellEnd"/>
      <w:r>
        <w:rPr>
          <w:rFonts w:ascii="Times New Roman" w:eastAsia="Times New Roman" w:hAnsi="Times New Roman" w:cs="Times New Roman"/>
          <w:b/>
          <w:bCs/>
          <w:color w:val="222222"/>
          <w:sz w:val="20"/>
          <w:szCs w:val="20"/>
        </w:rPr>
        <w:t>? I think it will be better to add some definition here.</w:t>
      </w:r>
    </w:p>
    <w:p w14:paraId="0000005C"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5D"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Thank you for pointing this out. We clarified the definitions of </w:t>
      </w:r>
      <w:proofErr w:type="spellStart"/>
      <w:r>
        <w:rPr>
          <w:rFonts w:ascii="Times New Roman" w:eastAsia="Times New Roman" w:hAnsi="Times New Roman" w:cs="Times New Roman"/>
          <w:i/>
          <w:iCs/>
          <w:color w:val="222222"/>
          <w:sz w:val="20"/>
          <w:szCs w:val="20"/>
        </w:rPr>
        <w:t>n</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 xml:space="preserve"> and </w:t>
      </w:r>
      <w:proofErr w:type="spellStart"/>
      <w:r>
        <w:rPr>
          <w:rFonts w:ascii="Times New Roman" w:eastAsia="Times New Roman" w:hAnsi="Times New Roman" w:cs="Times New Roman"/>
          <w:i/>
          <w:iCs/>
          <w:color w:val="222222"/>
          <w:sz w:val="20"/>
          <w:szCs w:val="20"/>
        </w:rPr>
        <w:t>c</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 The following paragraph has been added to the Computational details section:</w:t>
      </w:r>
    </w:p>
    <w:p w14:paraId="0000005E" w14:textId="77777777" w:rsidR="00FF5F56" w:rsidRDefault="00FF5F56">
      <w:pPr>
        <w:shd w:val="clear" w:color="auto" w:fill="FFFFFF"/>
        <w:jc w:val="both"/>
        <w:rPr>
          <w:rFonts w:ascii="Times New Roman" w:eastAsia="Times New Roman" w:hAnsi="Times New Roman" w:cs="Times New Roman"/>
          <w:color w:val="222222"/>
          <w:sz w:val="20"/>
          <w:szCs w:val="20"/>
        </w:rPr>
      </w:pPr>
    </w:p>
    <w:p w14:paraId="0000005F"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 xml:space="preserve">“Here, </w:t>
      </w:r>
      <w:proofErr w:type="spellStart"/>
      <w:r>
        <w:rPr>
          <w:rFonts w:ascii="Times New Roman" w:eastAsia="Times New Roman" w:hAnsi="Times New Roman" w:cs="Times New Roman"/>
          <w:i/>
          <w:iCs/>
          <w:color w:val="222222"/>
          <w:sz w:val="20"/>
          <w:szCs w:val="20"/>
        </w:rPr>
        <w:t>n</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 xml:space="preserve">(T) is the total number of </w:t>
      </w:r>
      <w:proofErr w:type="gramStart"/>
      <w:r>
        <w:rPr>
          <w:rFonts w:ascii="Times New Roman" w:eastAsia="Times New Roman" w:hAnsi="Times New Roman" w:cs="Times New Roman"/>
          <w:color w:val="222222"/>
          <w:sz w:val="20"/>
          <w:szCs w:val="20"/>
        </w:rPr>
        <w:t>nitrogen</w:t>
      </w:r>
      <w:proofErr w:type="gramEnd"/>
      <w:r>
        <w:rPr>
          <w:rFonts w:ascii="Times New Roman" w:eastAsia="Times New Roman" w:hAnsi="Times New Roman" w:cs="Times New Roman"/>
          <w:color w:val="222222"/>
          <w:sz w:val="20"/>
          <w:szCs w:val="20"/>
        </w:rPr>
        <w:t xml:space="preserve"> Frenkel pairs in the MD supercell, obtained from the number of </w:t>
      </w:r>
      <w:proofErr w:type="gramStart"/>
      <w:r>
        <w:rPr>
          <w:rFonts w:ascii="Times New Roman" w:eastAsia="Times New Roman" w:hAnsi="Times New Roman" w:cs="Times New Roman"/>
          <w:color w:val="222222"/>
          <w:sz w:val="20"/>
          <w:szCs w:val="20"/>
        </w:rPr>
        <w:t>nitrogen</w:t>
      </w:r>
      <w:proofErr w:type="gramEnd"/>
      <w:r>
        <w:rPr>
          <w:rFonts w:ascii="Times New Roman" w:eastAsia="Times New Roman" w:hAnsi="Times New Roman" w:cs="Times New Roman"/>
          <w:color w:val="222222"/>
          <w:sz w:val="20"/>
          <w:szCs w:val="20"/>
        </w:rPr>
        <w:t xml:space="preserve"> WS vacancies. The plotted concentration is normalized by the total number of atoms, </w:t>
      </w:r>
      <w:proofErr w:type="spellStart"/>
      <w:r>
        <w:rPr>
          <w:rFonts w:ascii="Times New Roman" w:eastAsia="Times New Roman" w:hAnsi="Times New Roman" w:cs="Times New Roman"/>
          <w:i/>
          <w:iCs/>
          <w:color w:val="222222"/>
          <w:sz w:val="20"/>
          <w:szCs w:val="20"/>
        </w:rPr>
        <w:t>c</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 xml:space="preserve">(T) = </w:t>
      </w:r>
      <w:proofErr w:type="spellStart"/>
      <w:r>
        <w:rPr>
          <w:rFonts w:ascii="Times New Roman" w:eastAsia="Times New Roman" w:hAnsi="Times New Roman" w:cs="Times New Roman"/>
          <w:i/>
          <w:iCs/>
          <w:color w:val="222222"/>
          <w:sz w:val="20"/>
          <w:szCs w:val="20"/>
        </w:rPr>
        <w:t>n</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(T)/</w:t>
      </w:r>
      <w:proofErr w:type="spellStart"/>
      <w:r>
        <w:rPr>
          <w:rFonts w:ascii="Times New Roman" w:eastAsia="Times New Roman" w:hAnsi="Times New Roman" w:cs="Times New Roman"/>
          <w:color w:val="222222"/>
          <w:sz w:val="20"/>
          <w:szCs w:val="20"/>
        </w:rPr>
        <w:t>N</w:t>
      </w:r>
      <w:r>
        <w:rPr>
          <w:rFonts w:ascii="Times New Roman" w:eastAsia="Times New Roman" w:hAnsi="Times New Roman" w:cs="Times New Roman"/>
          <w:color w:val="222222"/>
          <w:sz w:val="20"/>
          <w:szCs w:val="20"/>
          <w:vertAlign w:val="subscript"/>
        </w:rPr>
        <w:t>atoms</w:t>
      </w:r>
      <w:proofErr w:type="spellEnd"/>
      <w:r>
        <w:rPr>
          <w:rFonts w:ascii="Times New Roman" w:eastAsia="Times New Roman" w:hAnsi="Times New Roman" w:cs="Times New Roman"/>
          <w:color w:val="222222"/>
          <w:sz w:val="20"/>
          <w:szCs w:val="20"/>
        </w:rPr>
        <w:t xml:space="preserve">. This definition affects only the concentration normalization and the Arrhenius </w:t>
      </w:r>
      <w:proofErr w:type="spellStart"/>
      <w:r>
        <w:rPr>
          <w:rFonts w:ascii="Times New Roman" w:eastAsia="Times New Roman" w:hAnsi="Times New Roman" w:cs="Times New Roman"/>
          <w:color w:val="222222"/>
          <w:sz w:val="20"/>
          <w:szCs w:val="20"/>
        </w:rPr>
        <w:t>prefactor</w:t>
      </w:r>
      <w:proofErr w:type="spellEnd"/>
      <w:r>
        <w:rPr>
          <w:rFonts w:ascii="Times New Roman" w:eastAsia="Times New Roman" w:hAnsi="Times New Roman" w:cs="Times New Roman"/>
          <w:color w:val="222222"/>
          <w:sz w:val="20"/>
          <w:szCs w:val="20"/>
        </w:rPr>
        <w:t xml:space="preserve">, but not </w:t>
      </w:r>
      <w:proofErr w:type="spellStart"/>
      <w:r>
        <w:rPr>
          <w:rFonts w:ascii="Times New Roman" w:eastAsia="Times New Roman" w:hAnsi="Times New Roman" w:cs="Times New Roman"/>
          <w:color w:val="222222"/>
          <w:sz w:val="20"/>
          <w:szCs w:val="20"/>
        </w:rPr>
        <w:t>C</w:t>
      </w:r>
      <w:r>
        <w:rPr>
          <w:rFonts w:ascii="Times New Roman" w:eastAsia="Times New Roman" w:hAnsi="Times New Roman" w:cs="Times New Roman"/>
          <w:color w:val="222222"/>
          <w:sz w:val="20"/>
          <w:szCs w:val="20"/>
          <w:vertAlign w:val="subscript"/>
        </w:rPr>
        <w:t>def</w:t>
      </w:r>
      <w:proofErr w:type="spellEnd"/>
      <w:r>
        <w:rPr>
          <w:rFonts w:ascii="Times New Roman" w:eastAsia="Times New Roman" w:hAnsi="Times New Roman" w:cs="Times New Roman"/>
          <w:color w:val="222222"/>
          <w:sz w:val="20"/>
          <w:szCs w:val="20"/>
        </w:rPr>
        <w:t xml:space="preserve">, which is evaluated from the absolute Frenkel-pair count </w:t>
      </w:r>
      <w:proofErr w:type="spellStart"/>
      <w:r>
        <w:rPr>
          <w:rFonts w:ascii="Times New Roman" w:eastAsia="Times New Roman" w:hAnsi="Times New Roman" w:cs="Times New Roman"/>
          <w:i/>
          <w:iCs/>
          <w:color w:val="222222"/>
          <w:sz w:val="20"/>
          <w:szCs w:val="20"/>
        </w:rPr>
        <w:t>n</w:t>
      </w:r>
      <w:r>
        <w:rPr>
          <w:rFonts w:ascii="Times New Roman" w:eastAsia="Times New Roman" w:hAnsi="Times New Roman" w:cs="Times New Roman"/>
          <w:color w:val="222222"/>
          <w:sz w:val="20"/>
          <w:szCs w:val="20"/>
          <w:vertAlign w:val="subscript"/>
        </w:rPr>
        <w:t>FP</w:t>
      </w:r>
      <w:proofErr w:type="spellEnd"/>
      <w:r>
        <w:rPr>
          <w:rFonts w:ascii="Times New Roman" w:eastAsia="Times New Roman" w:hAnsi="Times New Roman" w:cs="Times New Roman"/>
          <w:color w:val="222222"/>
          <w:sz w:val="20"/>
          <w:szCs w:val="20"/>
        </w:rPr>
        <w:t>(T) in Eq. 3.”</w:t>
      </w:r>
    </w:p>
    <w:p w14:paraId="00000060" w14:textId="77777777" w:rsidR="00FF5F56" w:rsidRDefault="00000000">
      <w:pPr>
        <w:shd w:val="clear" w:color="auto" w:fill="FFFFFF"/>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br/>
      </w:r>
      <w:r>
        <w:rPr>
          <w:rFonts w:ascii="Times New Roman" w:eastAsia="Times New Roman" w:hAnsi="Times New Roman" w:cs="Times New Roman"/>
          <w:b/>
          <w:bCs/>
          <w:color w:val="222222"/>
          <w:sz w:val="20"/>
          <w:szCs w:val="20"/>
        </w:rPr>
        <w:t xml:space="preserve">4. Page 5 “Thus, while the </w:t>
      </w:r>
      <w:proofErr w:type="spellStart"/>
      <w:r>
        <w:rPr>
          <w:rFonts w:ascii="Times New Roman" w:eastAsia="Times New Roman" w:hAnsi="Times New Roman" w:cs="Times New Roman"/>
          <w:b/>
          <w:bCs/>
          <w:color w:val="222222"/>
          <w:sz w:val="20"/>
          <w:szCs w:val="20"/>
        </w:rPr>
        <w:t>Tseplyaev</w:t>
      </w:r>
      <w:proofErr w:type="spellEnd"/>
      <w:r>
        <w:rPr>
          <w:rFonts w:ascii="Times New Roman" w:eastAsia="Times New Roman" w:hAnsi="Times New Roman" w:cs="Times New Roman"/>
          <w:b/>
          <w:bCs/>
          <w:color w:val="222222"/>
          <w:sz w:val="20"/>
          <w:szCs w:val="20"/>
        </w:rPr>
        <w:t xml:space="preserve"> potential predicts defect populations large enough to reproduce the curvature in the Hayes correlation and the Kocevski potential yields a much weaker response”. Could the authors briefly discuss (in 1-2 sentences) the possible reasons for this difference between the two potentials?</w:t>
      </w:r>
    </w:p>
    <w:p w14:paraId="6095EBF4" w14:textId="77777777" w:rsidR="001837C9" w:rsidRDefault="00000000">
      <w:pPr>
        <w:shd w:val="clear" w:color="auto" w:fill="FFFFFF"/>
        <w:spacing w:before="240" w:after="240"/>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t>We added the following paragraph to the Results section:</w:t>
      </w:r>
    </w:p>
    <w:p w14:paraId="00000061" w14:textId="38D1B83E" w:rsidR="00FF5F56" w:rsidRDefault="00000000">
      <w:pPr>
        <w:shd w:val="clear" w:color="auto" w:fill="FFFFFF"/>
        <w:spacing w:before="240" w:after="240"/>
        <w:jc w:val="both"/>
        <w:rPr>
          <w:rFonts w:ascii="Times New Roman" w:eastAsia="Times New Roman" w:hAnsi="Times New Roman" w:cs="Times New Roman"/>
          <w:color w:val="222222"/>
          <w:sz w:val="20"/>
          <w:szCs w:val="20"/>
        </w:rPr>
      </w:pPr>
      <w:r>
        <w:rPr>
          <w:rFonts w:ascii="Times New Roman" w:eastAsia="Times New Roman" w:hAnsi="Times New Roman" w:cs="Times New Roman"/>
          <w:color w:val="222222"/>
          <w:sz w:val="20"/>
          <w:szCs w:val="20"/>
        </w:rPr>
        <w:lastRenderedPageBreak/>
        <w:br/>
        <w:t xml:space="preserve">“The difference between the two potentials likely reflects their different functional forms and fitting targets. The </w:t>
      </w:r>
      <w:proofErr w:type="spellStart"/>
      <w:r>
        <w:rPr>
          <w:rFonts w:ascii="Times New Roman" w:eastAsia="Times New Roman" w:hAnsi="Times New Roman" w:cs="Times New Roman"/>
          <w:color w:val="222222"/>
          <w:sz w:val="20"/>
          <w:szCs w:val="20"/>
        </w:rPr>
        <w:t>Tseplyaev</w:t>
      </w:r>
      <w:proofErr w:type="spellEnd"/>
      <w:r>
        <w:rPr>
          <w:rFonts w:ascii="Times New Roman" w:eastAsia="Times New Roman" w:hAnsi="Times New Roman" w:cs="Times New Roman"/>
          <w:color w:val="222222"/>
          <w:sz w:val="20"/>
          <w:szCs w:val="20"/>
        </w:rPr>
        <w:t xml:space="preserve"> angular-dependent potential has previously been found to better describe energetic quantities such as heat capacity and point-defect formation energies, whereas the Kocevski EAM potential better reproduces structural and elastic properties but is less reliable for defect energetics [2]. These differences lead to different nitrogen vacancy-interstitial free-energy landscapes and therefore different Frenkel-pair populations at high temperature.”</w:t>
      </w:r>
    </w:p>
    <w:sectPr w:rsidR="00FF5F56">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3602A" w14:textId="77777777" w:rsidR="00332255" w:rsidRDefault="00332255">
      <w:pPr>
        <w:spacing w:line="240" w:lineRule="auto"/>
      </w:pPr>
      <w:r>
        <w:separator/>
      </w:r>
    </w:p>
  </w:endnote>
  <w:endnote w:type="continuationSeparator" w:id="0">
    <w:p w14:paraId="1B88DAFA" w14:textId="77777777" w:rsidR="00332255" w:rsidRDefault="003322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8A2562D-6B8E-8E4B-ADD6-E070A728A47D}"/>
    <w:embedBold r:id="rId2" w:fontKey="{1D4B0D59-99B6-F640-8D3D-5B114AD5EB57}"/>
    <w:embedItalic r:id="rId3" w:fontKey="{58AE69B0-248E-A44F-A4B1-82A92823C89F}"/>
    <w:embedBoldItalic r:id="rId4" w:fontKey="{EE98B8F9-2A7E-5847-9019-0839F410B300}"/>
  </w:font>
  <w:font w:name="Arial">
    <w:panose1 w:val="020B0604020202020204"/>
    <w:charset w:val="00"/>
    <w:family w:val="swiss"/>
    <w:pitch w:val="variable"/>
    <w:sig w:usb0="E0002AFF" w:usb1="C0007843" w:usb2="00000009" w:usb3="00000000" w:csb0="000001FF" w:csb1="00000000"/>
    <w:embedRegular r:id="rId5" w:fontKey="{9BCC7787-9DC7-C14C-A4AE-593D4384C5B6}"/>
    <w:embedItalic r:id="rId6" w:fontKey="{21252778-2A40-0943-96D2-096671DF0BF7}"/>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7" w:fontKey="{59AA68E7-D22A-B643-80A4-B2E7108B6F09}"/>
  </w:font>
  <w:font w:name="Calibri">
    <w:panose1 w:val="020F0502020204030204"/>
    <w:charset w:val="00"/>
    <w:family w:val="swiss"/>
    <w:pitch w:val="variable"/>
    <w:sig w:usb0="E0002AFF" w:usb1="C000247B" w:usb2="00000009" w:usb3="00000000" w:csb0="000001FF" w:csb1="00000000"/>
    <w:embedRegular r:id="rId8" w:fontKey="{4A6AF533-8D1E-E447-80AB-646F98F7D125}"/>
  </w:font>
  <w:font w:name="Cambria">
    <w:panose1 w:val="02040503050406030204"/>
    <w:charset w:val="00"/>
    <w:family w:val="roman"/>
    <w:pitch w:val="variable"/>
    <w:sig w:usb0="E00002FF" w:usb1="400004FF" w:usb2="00000000" w:usb3="00000000" w:csb0="0000019F" w:csb1="00000000"/>
    <w:embedRegular r:id="rId9" w:fontKey="{D7CA03C1-0094-8349-8B9B-5ED3D1CAE9E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8EE31" w14:textId="77777777" w:rsidR="00332255" w:rsidRDefault="00332255">
      <w:pPr>
        <w:spacing w:line="240" w:lineRule="auto"/>
      </w:pPr>
      <w:r>
        <w:separator/>
      </w:r>
    </w:p>
  </w:footnote>
  <w:footnote w:type="continuationSeparator" w:id="0">
    <w:p w14:paraId="0C8FFB81" w14:textId="77777777" w:rsidR="00332255" w:rsidRDefault="003322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62" w14:textId="77777777" w:rsidR="00FF5F56" w:rsidRDefault="00FF5F5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164ED"/>
    <w:multiLevelType w:val="multilevel"/>
    <w:tmpl w:val="54D84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5F308FC"/>
    <w:multiLevelType w:val="multilevel"/>
    <w:tmpl w:val="C4880B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AF47EA1"/>
    <w:multiLevelType w:val="multilevel"/>
    <w:tmpl w:val="8E34E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52937272">
    <w:abstractNumId w:val="0"/>
  </w:num>
  <w:num w:numId="2" w16cid:durableId="317463523">
    <w:abstractNumId w:val="2"/>
  </w:num>
  <w:num w:numId="3" w16cid:durableId="19309681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F56"/>
    <w:rsid w:val="001837C9"/>
    <w:rsid w:val="00190643"/>
    <w:rsid w:val="00320C0B"/>
    <w:rsid w:val="00332255"/>
    <w:rsid w:val="005624F5"/>
    <w:rsid w:val="007D1748"/>
    <w:rsid w:val="00915E78"/>
    <w:rsid w:val="00A30BA9"/>
    <w:rsid w:val="00E57833"/>
    <w:rsid w:val="00FF5F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4E02D8"/>
  <w15:docId w15:val="{06ACD7F3-794F-F446-A028-5A5B12A3BA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2813</Words>
  <Characters>16037</Characters>
  <Application>Microsoft Office Word</Application>
  <DocSecurity>0</DocSecurity>
  <Lines>133</Lines>
  <Paragraphs>37</Paragraphs>
  <ScaleCrop>false</ScaleCrop>
  <Company/>
  <LinksUpToDate>false</LinksUpToDate>
  <CharactersWithSpaces>18813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Benjamin W. Beeler</cp:lastModifiedBy>
  <cp:revision>6</cp:revision>
  <dcterms:created xsi:type="dcterms:W3CDTF">2026-05-19T15:09:00Z</dcterms:created>
  <dcterms:modified xsi:type="dcterms:W3CDTF">2026-05-25T18:14:00Z</dcterms:modified>
</cp:coreProperties>
</file>