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FD125">
      <w:pPr>
        <w:pStyle w:val="18"/>
        <w:widowControl/>
        <w:outlineLvl w:val="9"/>
        <w:rPr>
          <w:rFonts w:hint="eastAsia" w:eastAsia="黑体"/>
          <w:lang w:eastAsia="zh-CN"/>
        </w:rPr>
      </w:pPr>
      <w:bookmarkStart w:id="14" w:name="_GoBack"/>
      <w:bookmarkEnd w:id="14"/>
      <w:r>
        <w:rPr>
          <w:rFonts w:hint="eastAsia" w:ascii="Times New Roman" w:hAnsi="Times New Roman" w:eastAsia="黑体" w:cs="Times New Roman"/>
          <w:kern w:val="2"/>
          <w:sz w:val="36"/>
          <w:szCs w:val="36"/>
          <w:lang w:eastAsia="zh-CN" w:bidi="ar-SA"/>
        </w:rPr>
        <w:t>고효율 배포를 위한 확산 모델의 핵심 구성 요소에 대한 간소화된 실증 연구</w:t>
      </w:r>
    </w:p>
    <w:p w14:paraId="6D5A9788">
      <w:pPr>
        <w:pStyle w:val="24"/>
        <w:keepNext/>
        <w:widowControl/>
        <w:outlineLvl w:val="9"/>
        <w:rPr>
          <w:rFonts w:hint="eastAsia" w:eastAsia="黑体"/>
          <w:lang w:eastAsia="zh-CN"/>
        </w:rPr>
      </w:pPr>
      <w:r>
        <w:rPr>
          <w:rFonts w:hint="eastAsia" w:ascii="Times New Roman" w:hAnsi="Times New Roman" w:eastAsia="黑体" w:cs="Times New Roman"/>
          <w:kern w:val="44"/>
          <w:sz w:val="32"/>
          <w:szCs w:val="32"/>
          <w:lang w:eastAsia="zh-CN" w:bidi="ar-SA"/>
        </w:rPr>
        <w:t>요약</w:t>
      </w:r>
    </w:p>
    <w:p w14:paraId="375756FE">
      <w:pPr>
        <w:pStyle w:val="25"/>
        <w:rPr>
          <w:rFonts w:hint="eastAsia" w:eastAsia="SimSun"/>
          <w:lang w:eastAsia="zh-CN"/>
        </w:rPr>
      </w:pPr>
      <w:r>
        <w:rPr>
          <w:rFonts w:hint="eastAsia" w:ascii="Times New Roman" w:hAnsi="Times New Roman" w:eastAsia="SimSun" w:cs="Times New Roman"/>
          <w:kern w:val="2"/>
          <w:sz w:val="28"/>
          <w:szCs w:val="24"/>
          <w:lang w:eastAsia="zh-CN"/>
        </w:rPr>
        <w:t>확산 확률 모델은 현재 생성형 인공지능 분야의 핵심 기술 중 하나로, 뛰어난 생성 능력이 이미 이미지, 오디오, 심지어 크로스모달 생성 등 다양한 분야에서 광범위하게 검증되어 왔습니다. 그러나 개선된 DDPM을 대표로 하는 고성능 확산 모델들은 일반적으로 코사인 노이즈 스케줄링, 학습 가능한 역방향 과정 분산, 혼합 손실 함수와 같은 복잡한 설계 요소를 통합하고 있습니다. 이러한 개선은 생성 품질과 이론적 완전성을 크게 향상시키는 반면, 모델의 구현 복잡도, 훈련 비용 및 이해 난이도를 불가피하게 증가시킵니다. 본 연구는 실제 엔지니어링 적용과 교육·교육 현장의 시급한 요구를 출발점으로, 이러한 핵심 구성 요소들을 단순화할 경우 모델의 최종 성능과 전체 효율성에 미치는 구체적인 영향을 체계적으로 탐구합니다.일련의 엄격한 통제 변수 실험을 설계하여 우리는 CIFAR-10 및 MNIST 표준 데이터셋에서 포괄적인 실증 평가와 비교 분석을 수행하였다. 연구 결과에 따르면, 훈련 단계에서 ‘고정된 역분산’과 ‘간소화된 손실 함수’(즉, 노이즈 예측 손실만 사용)를 적용하는 설정은 Frechet 인셉션 거리(FID) 지표에서 약 9%의 성능 저하를 초래하지만, 동시에 훈련 시간을 16% 이상 절감할 수 있으며 코드 구현 및 디버깅 과정도 크게 간소화된다.노이즈 스케줄링 분야에서는 구조가 더욱 간단한 제곱근 스케줄링 전략을 적용하였으며, 그 실제 생성 성능은 널리 사용되는 코사인 스케줄링과 매우 유사하다(FID 차이는 5% 미만). 이는 효과적인 경량 대안으로 활용할 수 있다. 또한 모델 추론 단계에서 샘플링 단계를 기존의 표준 1000단계에서 300~500단계로 크게 줄임으로써 생성 품질의 저하를 엄격히 통제하면서( FID 증가율 15% 미만 ) 추론 속도를 수 배까지 향상시킬 수 있었으며, 이는 실시간 응용 분야에서 특히 중요하다. 본 연구는 계산 자원이 제한적이거나 개발 효율성이나 교육 시연에 중점을 둔 상황에서 확산 모델을 배포하고 적용하기 위한, 충분한 실험 검증을 거쳐 성능과 효용 간의 균형을 명확히 정량화한 간소화된 구성 참조 방안을 제공한다.</w:t>
      </w:r>
    </w:p>
    <w:p w14:paraId="0B83344B">
      <w:pPr>
        <w:pStyle w:val="26"/>
        <w:widowControl/>
        <w:ind w:firstLine="0" w:firstLineChars="0"/>
        <w:rPr>
          <w:rFonts w:hint="eastAsia" w:ascii="Times New Roman" w:hAnsi="Times New Roman" w:eastAsia="SimSun" w:cs="Times New Roman"/>
          <w:b w:val="0"/>
          <w:sz w:val="24"/>
          <w:szCs w:val="24"/>
          <w:lang w:eastAsia="zh-CN"/>
        </w:rPr>
      </w:pPr>
      <w:r>
        <w:rPr>
          <w:rFonts w:hint="eastAsia" w:ascii="Times New Roman" w:hAnsi="Times New Roman" w:eastAsia="SimSun" w:cs="Times New Roman"/>
          <w:kern w:val="2"/>
          <w:sz w:val="28"/>
          <w:szCs w:val="24"/>
          <w:lang w:eastAsia="zh-CN" w:bidi="ar-SA"/>
        </w:rPr>
        <w:t>키워드: 확산 모델; 모델 단순화; 노이즈 스케줄링; 훈련 효율성; 경량 생성</w:t>
      </w:r>
    </w:p>
    <w:p w14:paraId="5682E8C5">
      <w:pPr>
        <w:rPr>
          <w:rFonts w:hint="eastAsia" w:eastAsiaTheme="minorEastAsia"/>
          <w:lang w:eastAsia="zh-CN"/>
        </w:rPr>
      </w:pPr>
      <w:r>
        <w:pict>
          <v:rect id="_x0000_i1028" o:spt="1" style="height:1.5pt;width:432pt;" fillcolor="#A0A0A0" filled="t" stroked="f" coordsize="21600,21600" o:hr="t" o:hrstd="t" o:hralign="center">
            <v:path/>
            <v:fill on="t" focussize="0,0"/>
            <v:stroke on="f"/>
            <v:imagedata o:title=""/>
            <o:lock v:ext="edit"/>
            <w10:wrap type="none"/>
            <w10:anchorlock/>
          </v:rect>
        </w:pict>
      </w:r>
      <w:r>
        <w:rPr>
          <w:rFonts w:hint="eastAsia" w:ascii="Times New Roman" w:hAnsiTheme="minorHAnsi" w:eastAsiaTheme="minorEastAsia" w:cstheme="minorBidi"/>
          <w:kern w:val="2"/>
          <w:sz w:val="21"/>
          <w:szCs w:val="24"/>
          <w:lang w:val="en-US" w:eastAsia="zh-CN" w:bidi="ar-SA"/>
        </w:rPr>
        <w:br w:type="page"/>
      </w:r>
      <w:r>
        <w:rPr>
          <w:rFonts w:hint="eastAsia" w:ascii="Times New Roman" w:hAnsi="Times New Roman" w:eastAsia="黑体" w:cs="Times New Roman"/>
          <w:kern w:val="2"/>
          <w:sz w:val="32"/>
          <w:szCs w:val="32"/>
          <w:lang w:val="en-US" w:eastAsia="zh-CN" w:bidi="ar-SA"/>
        </w:rPr>
        <w:t>목차</w:t>
      </w:r>
    </w:p>
    <w:p w14:paraId="3802C105">
      <w:pPr>
        <w:pStyle w:val="13"/>
        <w:tabs>
          <w:tab w:val="right" w:leader="dot" w:pos="8306"/>
        </w:tabs>
        <w:rPr>
          <w:rFonts w:hint="eastAsia" w:eastAsia="黑体"/>
          <w:lang w:eastAsia="zh-CN"/>
        </w:rPr>
      </w:pPr>
      <w:r>
        <w:fldChar w:fldCharType="begin"/>
      </w:r>
      <w:r>
        <w:instrText xml:space="preserve">TOC \o "1-3" \h \u </w:instrText>
      </w:r>
      <w:r>
        <w:fldChar w:fldCharType="separate"/>
      </w:r>
      <w:r>
        <w:rPr>
          <w:rFonts w:hint="eastAsia" w:ascii="Times New Roman" w:hAnsi="Times New Roman" w:eastAsia="黑体" w:cs="Times New Roman"/>
          <w:sz w:val="24"/>
          <w:szCs w:val="24"/>
          <w:lang w:eastAsia="zh-CN"/>
        </w:rPr>
        <w:t>1. 서론 3</w:t>
      </w:r>
      <w:r>
        <w:rPr>
          <w:rFonts w:hint="eastAsia" w:ascii="Times New Roman" w:hAnsi="Times New Roman" w:eastAsia="黑体" w:cs="Times New Roman"/>
          <w:sz w:val="24"/>
          <w:szCs w:val="24"/>
          <w:lang w:eastAsia="zh-CN"/>
        </w:rPr>
        <w:tab/>
        <w:t>3</w:t>
      </w:r>
    </w:p>
    <w:p w14:paraId="45FD4DFF">
      <w:pPr>
        <w:pStyle w:val="13"/>
        <w:tabs>
          <w:tab w:val="right" w:leader="dot" w:pos="8306"/>
        </w:tabs>
        <w:rPr>
          <w:rFonts w:hint="eastAsia" w:eastAsia="黑体"/>
          <w:lang w:eastAsia="zh-CN"/>
        </w:rPr>
      </w:pPr>
      <w:r>
        <w:rPr>
          <w:rFonts w:hint="eastAsia" w:ascii="Times New Roman"/>
          <w:lang w:eastAsia="zh-CN"/>
        </w:rPr>
        <w:fldChar w:fldCharType="begin"/>
      </w:r>
      <w:r>
        <w:rPr>
          <w:rFonts w:hint="eastAsia" w:ascii="Times New Roman"/>
          <w:lang w:eastAsia="zh-CN"/>
        </w:rPr>
        <w:instrText xml:space="preserve"> HYPERLINK \l "_Toc28838" </w:instrText>
      </w:r>
      <w:r>
        <w:rPr>
          <w:rFonts w:hint="eastAsia" w:ascii="Times New Roman"/>
          <w:lang w:eastAsia="zh-CN"/>
        </w:rPr>
        <w:fldChar w:fldCharType="separate"/>
      </w:r>
      <w:r>
        <w:rPr>
          <w:rStyle w:val="23"/>
          <w:rFonts w:hint="eastAsia" w:ascii="Times New Roman"/>
          <w:lang w:eastAsia="zh-CN"/>
        </w:rPr>
        <w:t>2. 관련 연구 3</w:t>
      </w:r>
      <w:r>
        <w:rPr>
          <w:rStyle w:val="23"/>
          <w:rFonts w:hint="eastAsia" w:ascii="Times New Roman"/>
          <w:lang w:eastAsia="zh-CN"/>
        </w:rPr>
        <w:tab/>
        <w:t>4</w:t>
      </w:r>
      <w:r>
        <w:rPr>
          <w:rFonts w:hint="eastAsia" w:ascii="Times New Roman"/>
          <w:lang w:eastAsia="zh-CN"/>
        </w:rPr>
        <w:fldChar w:fldCharType="end"/>
      </w:r>
    </w:p>
    <w:p w14:paraId="722F362F">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"_Toc16513" </w:instrText>
      </w:r>
      <w:r>
        <w:rPr>
          <w:rFonts w:hint="eastAsia" w:ascii="Times New Roman"/>
          <w:lang w:eastAsia="zh-CN"/>
        </w:rPr>
        <w:fldChar w:fldCharType="separate"/>
      </w:r>
      <w:r>
        <w:rPr>
          <w:rStyle w:val="23"/>
          <w:rFonts w:hint="eastAsia" w:ascii="Times New Roman"/>
          <w:lang w:eastAsia="zh-CN"/>
        </w:rPr>
        <w:t>2.1 확산 모델의 이론적 기반 3</w:t>
      </w:r>
      <w:r>
        <w:rPr>
          <w:rStyle w:val="23"/>
          <w:rFonts w:hint="eastAsia" w:ascii="Times New Roman"/>
          <w:lang w:eastAsia="zh-CN"/>
        </w:rPr>
        <w:tab/>
        <w:t>4</w:t>
      </w:r>
      <w:r>
        <w:rPr>
          <w:rFonts w:hint="eastAsia" w:ascii="Times New Roman"/>
          <w:lang w:eastAsia="zh-CN"/>
        </w:rPr>
        <w:fldChar w:fldCharType="end"/>
      </w:r>
    </w:p>
    <w:p w14:paraId="4772AEB6">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2.2 확산 모델의 가속화 및 단순화 연구 4</w:t>
      </w:r>
      <w:r>
        <w:rPr>
          <w:rFonts w:hint="eastAsia" w:ascii="Times New Roman" w:hAnsi="Times New Roman" w:eastAsia="SimSun" w:cs="Times New Roman"/>
          <w:sz w:val="24"/>
          <w:szCs w:val="24"/>
          <w:lang w:eastAsia="zh-CN"/>
        </w:rPr>
        <w:tab/>
        <w:t>4</w:t>
      </w:r>
    </w:p>
    <w:p w14:paraId="5657ACAE">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3. 핵심 구성 요소 및 단순화 방법 4</w:t>
      </w:r>
      <w:r>
        <w:rPr>
          <w:rFonts w:hint="eastAsia" w:ascii="Times New Roman" w:hAnsi="Times New Roman" w:eastAsia="黑体" w:cs="Times New Roman"/>
          <w:sz w:val="24"/>
          <w:szCs w:val="24"/>
          <w:lang w:eastAsia="zh-CN"/>
        </w:rPr>
        <w:tab/>
        <w:t>4</w:t>
      </w:r>
    </w:p>
    <w:p w14:paraId="412120EB">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"_Toc28350" </w:instrText>
      </w:r>
      <w:r>
        <w:rPr>
          <w:rFonts w:hint="eastAsia" w:ascii="Times New Roman"/>
          <w:lang w:eastAsia="zh-CN"/>
        </w:rPr>
        <w:fldChar w:fldCharType="separate"/>
      </w:r>
      <w:r>
        <w:rPr>
          <w:rStyle w:val="23"/>
          <w:rFonts w:hint="eastAsia" w:ascii="Times New Roman"/>
          <w:lang w:eastAsia="zh-CN"/>
        </w:rPr>
        <w:t>3.1 확산 모델의 수학적 틀에 대한 개요 4</w:t>
      </w:r>
      <w:r>
        <w:rPr>
          <w:rStyle w:val="23"/>
          <w:rFonts w:hint="eastAsia" w:ascii="Times New Roman"/>
          <w:lang w:eastAsia="zh-CN"/>
        </w:rPr>
        <w:tab/>
        <w:t>6</w:t>
      </w:r>
      <w:r>
        <w:rPr>
          <w:rFonts w:hint="eastAsia" w:ascii="Times New Roman"/>
          <w:lang w:eastAsia="zh-CN"/>
        </w:rPr>
        <w:fldChar w:fldCharType="end"/>
      </w:r>
    </w:p>
    <w:p w14:paraId="05BF0E83">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3.2 소음 조절 전략 설계 5</w:t>
      </w:r>
      <w:r>
        <w:rPr>
          <w:rFonts w:hint="eastAsia" w:ascii="Times New Roman" w:hAnsi="Times New Roman" w:eastAsia="SimSun" w:cs="Times New Roman"/>
          <w:sz w:val="24"/>
          <w:szCs w:val="24"/>
          <w:lang w:eastAsia="zh-CN"/>
        </w:rPr>
        <w:tab/>
        <w:t>5</w:t>
      </w:r>
    </w:p>
    <w:p w14:paraId="717C9CFE">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"_Toc10254" </w:instrText>
      </w:r>
      <w:r>
        <w:rPr>
          <w:rFonts w:hint="eastAsia" w:ascii="Times New Roman"/>
          <w:lang w:eastAsia="zh-CN"/>
        </w:rPr>
        <w:fldChar w:fldCharType="separate"/>
      </w:r>
      <w:r>
        <w:rPr>
          <w:rStyle w:val="23"/>
          <w:rFonts w:hint="eastAsia" w:ascii="Times New Roman"/>
          <w:lang w:eastAsia="zh-CN"/>
        </w:rPr>
        <w:t>3.3 훈련 구성의 단순화 방안 5</w:t>
      </w:r>
      <w:r>
        <w:rPr>
          <w:rStyle w:val="23"/>
          <w:rFonts w:hint="eastAsia" w:ascii="Times New Roman"/>
          <w:lang w:eastAsia="zh-CN"/>
        </w:rPr>
        <w:tab/>
        <w:t>8</w:t>
      </w:r>
      <w:r>
        <w:rPr>
          <w:rFonts w:hint="eastAsia" w:ascii="Times New Roman"/>
          <w:lang w:eastAsia="zh-CN"/>
        </w:rPr>
        <w:fldChar w:fldCharType="end"/>
      </w:r>
    </w:p>
    <w:p w14:paraId="0D442F03">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3.4 실험 설계 6</w:t>
      </w:r>
      <w:r>
        <w:rPr>
          <w:rFonts w:hint="eastAsia" w:ascii="Times New Roman" w:hAnsi="Times New Roman" w:eastAsia="SimSun" w:cs="Times New Roman"/>
          <w:sz w:val="24"/>
          <w:szCs w:val="24"/>
          <w:lang w:eastAsia="zh-CN"/>
        </w:rPr>
        <w:tab/>
        <w:t>6</w:t>
      </w:r>
    </w:p>
    <w:p w14:paraId="0C1CE910">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4. 실험 및 분석 6</w:t>
      </w:r>
      <w:r>
        <w:rPr>
          <w:rFonts w:hint="eastAsia" w:ascii="Times New Roman" w:hAnsi="Times New Roman" w:eastAsia="黑体" w:cs="Times New Roman"/>
          <w:sz w:val="24"/>
          <w:szCs w:val="24"/>
          <w:lang w:eastAsia="zh-CN"/>
        </w:rPr>
        <w:tab/>
        <w:t>6</w:t>
      </w:r>
    </w:p>
    <w:p w14:paraId="1989CFB5">
      <w:pPr>
        <w:pStyle w:val="15"/>
        <w:tabs>
          <w:tab w:val="right" w:leader="dot" w:pos="8306"/>
        </w:tabs>
        <w:rPr>
          <w:rFonts w:hint="eastAsia" w:eastAsia="SimSun"/>
          <w:lang w:eastAsia="zh-CN"/>
        </w:rPr>
      </w:pPr>
      <w:r>
        <w:rPr>
          <w:rFonts w:hint="eastAsia" w:ascii="Times New Roman"/>
          <w:lang w:eastAsia="zh-CN"/>
        </w:rPr>
        <w:fldChar w:fldCharType="begin"/>
      </w:r>
      <w:r>
        <w:rPr>
          <w:rFonts w:hint="eastAsia" w:ascii="Times New Roman"/>
          <w:lang w:eastAsia="zh-CN"/>
        </w:rPr>
        <w:instrText xml:space="preserve"> HYPERLINK \l "_Toc25739" </w:instrText>
      </w:r>
      <w:r>
        <w:rPr>
          <w:rFonts w:hint="eastAsia" w:ascii="Times New Roman"/>
          <w:lang w:eastAsia="zh-CN"/>
        </w:rPr>
        <w:fldChar w:fldCharType="separate"/>
      </w:r>
      <w:r>
        <w:rPr>
          <w:rStyle w:val="23"/>
          <w:rFonts w:hint="eastAsia" w:ascii="Times New Roman"/>
          <w:lang w:eastAsia="zh-CN"/>
        </w:rPr>
        <w:t>4.1 소음 조절 전략의 비교 실험 6</w:t>
      </w:r>
      <w:r>
        <w:rPr>
          <w:rStyle w:val="23"/>
          <w:rFonts w:hint="eastAsia" w:ascii="Times New Roman"/>
          <w:lang w:eastAsia="zh-CN"/>
        </w:rPr>
        <w:tab/>
        <w:t>11</w:t>
      </w:r>
      <w:r>
        <w:rPr>
          <w:rFonts w:hint="eastAsia" w:ascii="Times New Roman"/>
          <w:lang w:eastAsia="zh-CN"/>
        </w:rPr>
        <w:fldChar w:fldCharType="end"/>
      </w:r>
    </w:p>
    <w:p w14:paraId="4ABD8A6F">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4.2 훈련 구성의 간소화를 위한 검증 실험 7</w:t>
      </w:r>
      <w:r>
        <w:rPr>
          <w:rFonts w:hint="eastAsia" w:ascii="Times New Roman" w:hAnsi="Times New Roman" w:eastAsia="SimSun" w:cs="Times New Roman"/>
          <w:sz w:val="24"/>
          <w:szCs w:val="24"/>
          <w:lang w:eastAsia="zh-CN"/>
        </w:rPr>
        <w:tab/>
        <w:t>7</w:t>
      </w:r>
    </w:p>
    <w:p w14:paraId="09A1E995">
      <w:pPr>
        <w:pStyle w:val="15"/>
        <w:tabs>
          <w:tab w:val="right" w:leader="dot" w:pos="8306"/>
        </w:tabs>
        <w:rPr>
          <w:rFonts w:hint="eastAsia" w:eastAsia="SimSun"/>
          <w:lang w:eastAsia="zh-CN"/>
        </w:rPr>
      </w:pPr>
      <w:r>
        <w:rPr>
          <w:rFonts w:hint="eastAsia" w:ascii="Times New Roman" w:hAnsi="Times New Roman" w:eastAsia="SimSun" w:cs="Times New Roman"/>
          <w:sz w:val="24"/>
          <w:szCs w:val="24"/>
          <w:lang w:eastAsia="zh-CN"/>
        </w:rPr>
        <w:t>4.3 샘플링 효율성과 생성 품질 간의 균형 분석 7</w:t>
      </w:r>
      <w:r>
        <w:rPr>
          <w:rFonts w:hint="eastAsia" w:ascii="Times New Roman" w:hAnsi="Times New Roman" w:eastAsia="SimSun" w:cs="Times New Roman"/>
          <w:sz w:val="24"/>
          <w:szCs w:val="24"/>
          <w:lang w:eastAsia="zh-CN"/>
        </w:rPr>
        <w:tab/>
        <w:t>7</w:t>
      </w:r>
    </w:p>
    <w:p w14:paraId="64630683">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5. 결론 8</w:t>
      </w:r>
      <w:r>
        <w:rPr>
          <w:rFonts w:hint="eastAsia" w:ascii="Times New Roman" w:hAnsi="Times New Roman" w:eastAsia="黑体" w:cs="Times New Roman"/>
          <w:sz w:val="24"/>
          <w:szCs w:val="24"/>
          <w:lang w:eastAsia="zh-CN"/>
        </w:rPr>
        <w:tab/>
        <w:t>8</w:t>
      </w:r>
    </w:p>
    <w:p w14:paraId="3EAE9DF7">
      <w:pPr>
        <w:pStyle w:val="13"/>
        <w:tabs>
          <w:tab w:val="right" w:leader="dot" w:pos="8306"/>
        </w:tabs>
        <w:rPr>
          <w:rFonts w:hint="eastAsia" w:eastAsia="黑体"/>
          <w:lang w:eastAsia="zh-CN"/>
        </w:rPr>
      </w:pPr>
      <w:r>
        <w:rPr>
          <w:rFonts w:hint="eastAsia" w:ascii="Times New Roman" w:hAnsi="Times New Roman" w:eastAsia="黑体" w:cs="Times New Roman"/>
          <w:sz w:val="24"/>
          <w:szCs w:val="24"/>
          <w:lang w:eastAsia="zh-CN"/>
        </w:rPr>
        <w:t>참고문헌 9</w:t>
      </w:r>
      <w:r>
        <w:rPr>
          <w:rFonts w:hint="eastAsia" w:ascii="Times New Roman" w:hAnsi="Times New Roman" w:eastAsia="黑体" w:cs="Times New Roman"/>
          <w:sz w:val="24"/>
          <w:szCs w:val="24"/>
          <w:lang w:eastAsia="zh-CN"/>
        </w:rPr>
        <w:tab/>
        <w:t>9</w:t>
      </w:r>
    </w:p>
    <w:p w14:paraId="1BA26358">
      <w:pPr>
        <w:rPr>
          <w:rFonts w:hint="eastAsia" w:eastAsia="黑体"/>
          <w:lang w:eastAsia="zh-CN"/>
        </w:rPr>
      </w:pPr>
      <w:r>
        <w:fldChar w:fldCharType="end"/>
      </w:r>
      <w:r>
        <w:rPr>
          <w:rFonts w:hint="eastAsia" w:ascii="Times New Roman" w:hAnsiTheme="minorHAnsi" w:eastAsiaTheme="minorEastAsia" w:cstheme="minorBidi"/>
          <w:kern w:val="2"/>
          <w:sz w:val="21"/>
          <w:szCs w:val="24"/>
          <w:lang w:val="en-US" w:eastAsia="zh-CN" w:bidi="ar-SA"/>
        </w:rPr>
        <w:br w:type="page"/>
      </w:r>
      <w:r>
        <w:rPr>
          <w:rFonts w:hint="eastAsia" w:ascii="Times New Roman" w:hAnsi="Times New Roman" w:eastAsia="黑体" w:cs="Times New Roman"/>
          <w:kern w:val="44"/>
          <w:sz w:val="32"/>
          <w:szCs w:val="32"/>
          <w:lang w:val="en-US" w:eastAsia="zh-CN" w:bidi="ar-SA"/>
        </w:rPr>
        <w:t>1. 서론</w:t>
      </w:r>
    </w:p>
    <w:p w14:paraId="6342E194">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확산 모델은 강력한 데이터 생성 능력을 바탕으로 인공지능 기반 콘텐츠 생성(AIGC) 분야의 핵심 기반이 되었습니다. Denoising Diffusion Probabilistic Models(DDPM)이 제안된 이후 연구자들은 다양한 개선 작업을 통해 그 성능 한계를 지속적으로 확장해 왔습니다. 특히 Improved DDPM은 코사인 노이즈 스케줄링, 학습 가능한 역과정 분산, 그리고 단순화 손실과 변분 하한 손실을 결합한 혼합 목표 함수를 도입함으로써 모델의 생성 품질과 이론적 완전성을 크게 향상시켰으며, 후속 연구에 중요한 기준을 제시했습니다.</w:t>
      </w:r>
    </w:p>
    <w:p w14:paraId="5AD7A80F">
      <w:pPr>
        <w:pStyle w:val="11"/>
        <w:widowControl/>
        <w:spacing w:before="120" w:beforeAutospacing="0" w:after="120" w:afterAutospacing="0" w:line="360" w:lineRule="auto"/>
        <w:ind w:firstLine="560" w:firstLineChars="200"/>
        <w:rPr>
          <w:rFonts w:hint="eastAsia" w:eastAsia="SimSun"/>
          <w:lang w:eastAsia="zh-CN"/>
        </w:rPr>
      </w:pPr>
      <w:bookmarkStart w:id="0" w:name="_Toc28838"/>
      <w:r>
        <w:rPr>
          <w:rFonts w:hint="eastAsia" w:ascii="Times New Roman" w:hAnsi="Times New Roman" w:eastAsia="SimSun" w:cs="Times New Roman"/>
          <w:kern w:val="0"/>
          <w:sz w:val="28"/>
          <w:szCs w:val="21"/>
          <w:lang w:eastAsia="zh-CN"/>
        </w:rPr>
        <w:t>그러나 성능 향상은 종종 시스템의 복잡성이 급격히 증가하는 것과 함께 나타난다. 개선된 DDPM에 통합된 다양한 개선 전략들은 정량적 지표를 향상시키는 동시에 모델의 코드 구현, 하이퍼파라미터 조정, 이론적 이해 및 교육 설명 과정을 더욱 복잡하게 만든다. 이러한 복잡성은 모델의 신속한 프로토타입 검증, 교육 확산, 그리고 엣지 컴퓨팅 장치나 교육 실험실과 같은 자원이 제한된 환경에서의 실제 배포에 상당한 어려움을 초래한다.현재 많은 최첨단 연구들이 새로운 네트워크 아키텍처, 샘플링 알고리즘 또는 훈련 기법을 제안함으로써 성능이나 효율성을 더욱 향상시키는 데 주력하고 있지만, 기존에 검증된 고성능 모델 프레임워크 내에서 어떤 복잡한 설계 요소들이 필수적인 핵심 구성 요소인지, 그리고 특정 제약 조건 하에서는 어떤 요소들을 적절히 단순화할 수 있는지를 체계적으로 검토하고 분석한 연구는 거의 없다. 이를 통해 성능, 효율성, 사용 편의성 및 이해 가능성 간의 균형을 재구축할 수 있을 것이다.</w:t>
      </w:r>
      <w:bookmarkEnd w:id="0"/>
    </w:p>
    <w:p w14:paraId="6D285584">
      <w:pPr>
        <w:pStyle w:val="11"/>
        <w:widowControl/>
        <w:spacing w:before="120" w:beforeAutospacing="0" w:after="120" w:afterAutospacing="0" w:line="360" w:lineRule="auto"/>
        <w:ind w:firstLine="560" w:firstLineChars="200"/>
        <w:rPr>
          <w:rFonts w:hint="eastAsia" w:eastAsia="SimSun"/>
          <w:lang w:eastAsia="zh-CN"/>
        </w:rPr>
      </w:pPr>
      <w:bookmarkStart w:id="1" w:name="_Toc16513"/>
      <w:r>
        <w:rPr>
          <w:rFonts w:hint="eastAsia" w:ascii="Times New Roman" w:hAnsi="Times New Roman" w:eastAsia="SimSun" w:cs="Times New Roman"/>
          <w:kern w:val="0"/>
          <w:sz w:val="28"/>
          <w:szCs w:val="21"/>
          <w:lang w:eastAsia="zh-CN"/>
        </w:rPr>
        <w:t>위 문제들을 해결하기 위해 본 연구는 고전적인 고성능 모델인 개선된 DDPM을 기준으로 삼아, 정교하게 설계된 일련의 제어 변수 실험을 통해 노이즈 스케줄링 전략과 훈련 목표 구성이라는 두 가지 핵심 구성 요소를 단순화할 때 발생하는 구체적인 영향을 실증적으로 평가하고자 한다. 본 연구의 목적은 생성 품질에서 극한의 돌파를 추구하는 것이 아니라, 다양한 단순화 전략이 초래하는 성능 타협 정도와 훈련 효율성, 코드 복잡도, 추론 속도 측면에서의 구체적인 이점을 정량적으로 분석하는 데 있다.정량화된 데이터와 명확한 비교를 통해 모델의 이해성, 배포 가능성 및 개발 효율성에 관심을 가진 연구자, 엔지니어 및 교육자들에게 객관적인 의사결정 지원 자료를 제공하고자 합니다. 이를 통해 어떤 응용 시나리오에서 어떤 단순화 전략을 적용할 수 있는지, 그리고 그에 따른 정확한 비용과 효과를 명확히 제시할 수 있습니다.</w:t>
      </w:r>
      <w:bookmarkEnd w:id="1"/>
    </w:p>
    <w:p w14:paraId="3B282923">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2. 관련 연구</w:t>
      </w:r>
    </w:p>
    <w:p w14:paraId="535CF4A3">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2.1 확산 모델의 이론적 기반</w:t>
      </w:r>
    </w:p>
    <w:p w14:paraId="7A7D5F27">
      <w:pPr>
        <w:pStyle w:val="11"/>
        <w:widowControl/>
        <w:spacing w:before="120" w:beforeAutospacing="0" w:after="120" w:afterAutospacing="0" w:line="360" w:lineRule="auto"/>
        <w:ind w:firstLine="560" w:firstLineChars="200"/>
        <w:rPr>
          <w:rFonts w:hint="eastAsia" w:eastAsia="SimSun"/>
          <w:lang w:eastAsia="zh-CN"/>
        </w:rPr>
      </w:pPr>
      <w:bookmarkStart w:id="2" w:name="_Toc19449_ai"/>
      <w:r>
        <w:rPr>
          <w:rFonts w:hint="eastAsia" w:ascii="Times New Roman" w:hAnsi="Times New Roman" w:eastAsia="SimSun" w:cs="Times New Roman"/>
          <w:kern w:val="0"/>
          <w:sz w:val="28"/>
          <w:szCs w:val="21"/>
          <w:lang w:eastAsia="zh-CN"/>
        </w:rPr>
        <w:t>확산 모델의 현대적 형태는 노이즈 제거 확산 확률 모델의 이론적 틀 위에 기반을 두고 있다. 그 핵심 개념은 매개변수화된 마르코프 사슬을 이용해 복잡한 데이터 분포를 단순하고 샘플링이 용이한 잡음 분포로 점차 변환하는 ‘전방 과정’을 수행한 후, 신경망에 해당 과정의 역과정(역방향 과정)을 학습시켜 순수한 잡음에서 고품질 데이터를 생성하는 능력을 기르는 것이다.개선된 DDPM은 기존 DDPM을 기반으로 여러 가지 핵심적인 개선을 도입했다. 첫째, 원래의 선형 잡음 스케줄링 대신 코사인 스케줄링을 사용함으로써 잡음 추가 과정의 시작과 종료가 더욱 매끄럽게 되어 저주파 정보와 디테일을 더 잘 보존할 수 있다. 둘째, 역전 과정에서의 분산 값을 고정값에서 학습 가능한 파라미터로 변경하고, 변분 하한을 직접 최적화하여 모델의 로그 우도 추정 성능을 향상시켰다. 셋째, 간단한 잡음 예측 손실과 엄격한 변분 하한 손실을 결합하여 혼합 손실 함수를 구성함으로써 뛰어난 샘플 품질과 최적화된 이론적 경계를 동시에 확보하는 것을 목표로 한다.이러한 개선을 통해 개선된 DDPM은 다양한 벤치마크 데이터셋에서 생성 품질이 새로운 수준에 도달했으며, 이후 많은 확산 모델 변형체의 설계 기반 및 참조 기준으로 자리매김했습니다.</w:t>
      </w:r>
      <w:bookmarkEnd w:id="2"/>
    </w:p>
    <w:p w14:paraId="06BEDD6F">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2.2 확산 모델의 가속화 및 단순화 연구</w:t>
      </w:r>
    </w:p>
    <w:p w14:paraId="70B44C7C">
      <w:pPr>
        <w:pStyle w:val="11"/>
        <w:widowControl/>
        <w:spacing w:before="120" w:beforeAutospacing="0" w:after="120" w:afterAutospacing="0" w:line="360" w:lineRule="auto"/>
        <w:ind w:firstLine="560" w:firstLineChars="200"/>
        <w:rPr>
          <w:rFonts w:hint="eastAsia" w:eastAsia="SimSun"/>
          <w:lang w:eastAsia="zh-CN"/>
        </w:rPr>
      </w:pPr>
      <w:bookmarkStart w:id="3" w:name="_Toc28350"/>
      <w:r>
        <w:rPr>
          <w:rFonts w:hint="eastAsia" w:ascii="Times New Roman" w:hAnsi="Times New Roman" w:eastAsia="SimSun" w:cs="Times New Roman"/>
          <w:kern w:val="0"/>
          <w:sz w:val="28"/>
          <w:szCs w:val="21"/>
          <w:lang w:eastAsia="zh-CN"/>
        </w:rPr>
        <w:t>확산 모델이 본래 지닌 높은 계산 비용과 느린 샘플링 속도 문제에 대해 기존 연구는 주로 두 방향으로 접근하고 있다. 하나는 샘플링 가속화이며, 다른 하나는 모델 단순화이다. 샘플링 가속화 측면에서는 노이즈 제거 확산 암묵 모델이 이정표적인 성과를 거두었는데, 이 모델은 확산 과정을 비마르코프 사슬로 재구성함으로써 수십 단계 안에 고품질의 샘플링을 수행할 수 있게 했다. 일관성 모델이나 점진적 증류와 같은 방법들은 다단계 샘플링 과정을 근사하거나 ‘한 번에 완료’하는 빠른 전방 네트워크를 학습하도록 설계되었다. 모델 단순화 측면에서는 일부 연구가 더 경량화된 U-Net 네트워크 아키텍처를 설계하거나 특정 하이퍼파라미터(예: 노이즈 조정)에 대한 모델의 의존성을 줄이는 방안을 탐색하고 있다. 그러나 이러한 연구들은 대부분 효율성을 높이기 위해 새로운 모듈이나 알고리즘을 도입하는 데 초점을 맞추고 있다.반면에, 이미 널리 인정받는 고성능 모델(예: Improved DDPM)의 내재적 복잡한 구성 요소들을 특화하여 시스템적으로 단순화하는 연구는 아직 충분하지 않다. 특히 ‘학습 가능한 분산’이나 ‘혼합 손실’과 같이 구현의 복잡성과 학습 불안정성을 증가시키는 요소들의 다양한 자원 제약 조건 및 실제 응용 상황에서의 성능 대 비용 비율(Performance-Cost Ratio)을 정량적으로 평가하는 연구는 여전히 미흡한 실정이다. 본 연구의 목적은 모델의 주요 네트워크 아키텍처를 변경하지 않고도 엄격한 애블리션 실험과 비교 분석을 통해 기존의 복잡한 구성 요소들을 역방향으로 평가하고 단순화할 수 있는지 여부를 검증하는 데 있다.</w:t>
      </w:r>
      <w:bookmarkEnd w:id="3"/>
    </w:p>
    <w:p w14:paraId="010D527E">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 핵심 구성 요소 및 단순화 방법</w:t>
      </w:r>
    </w:p>
    <w:p w14:paraId="4BD1C59C">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3.1 확산 모델의 수학적 틀에 대한 개요</w:t>
      </w:r>
    </w:p>
    <w:p w14:paraId="5BE38758">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확산 모델은 점진적으로 잡음이 추가되는 전방 과정 \( q \)와 잡음을 제거하는 학습 기반의 역방 과정 \( p_\theta \)로 구성되어 있다. 전방 과정은 \( T \) 단계 동안 사전에 정의된 분산 행렬 \( \{\beta_t\}_{t=1}^T \)에 따라 데이터 \( x_0 \)를 점차적으로 근사 등방성 가우스 잡음 \( x_T \)으로 변환한다.</w:t>
      </w:r>
    </w:p>
    <w:p w14:paraId="271B12B2">
      <w:pPr>
        <w:pStyle w:val="11"/>
        <w:widowControl/>
        <w:numPr>
          <w:ilvl w:val="0"/>
          <w:numId w:val="1"/>
        </w:numPr>
        <w:ind w:left="0" w:leftChars="0" w:firstLine="480" w:firstLineChars="0"/>
        <w:rPr>
          <w:rFonts w:ascii="Times New Roman" w:hAnsi="Times New Roman" w:eastAsia="SimSun" w:cs="Times New Roman"/>
          <w:b w:val="0"/>
          <w:kern w:val="2"/>
          <w:sz w:val="24"/>
          <w:szCs w:val="24"/>
        </w:rPr>
      </w:pPr>
      <w:r>
        <m:rPr/>
        <w:rPr>
          <w:rFonts w:hint="eastAsia" w:ascii="Times New Roman" w:hAnsi="Times New Roman" w:eastAsia="SimSun" w:cs="Times New Roman"/>
          <w:i/>
          <w:kern w:val="2"/>
          <w:sz w:val="24"/>
          <w:szCs w:val="24"/>
          <w:lang w:eastAsia="zh-CN"/>
          <w:oMath/>
        </w:rPr>
        <w:t>\[ q(x_t | x_{t-1}) = \mathcal{N}(x_t; \sqrt{1-\beta_t} x_{t-1}, \beta_t I) \]</w:t>
      </w:r>
      <m:oMath>
        <m:r>
          <m:rPr/>
          <w:rPr>
            <w:rFonts w:hint="default" w:ascii="Cambria Math"/>
          </w:rPr>
          <m:t>q(</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)=oldsymbolextitN(</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;oldsymbolextit√1−et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oldsymbolextitI)</m:t>
        </m:r>
      </m:oMath>
    </w:p>
    <w:p w14:paraId="75FEEA93">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이 폐쇄형 해는 임의의 시간 단계 \( t \)에서 \(\x_t \)를 샘플링할 수 있도록 허용합니다:   \(\q(\x_t | \x_0) = \mathcal{N}(\x_t; \sqrt{\bar{\alpha}_t} \x_0, (1-\bar{\alpha}_t)I)\),   여기서 \(\bar{\alpha}_t = \prod_{s=1}^{t} (1-\beta_s)\)입니다.</w:t>
      </w:r>
    </w:p>
    <w:p w14:paraId="77834533">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역생성 과정은 실제 사후 분포를 근사하는 것을 목표로 하는 또 다른 매개변수화된 마르코프 체인으로 정의된다.</w:t>
      </w:r>
    </w:p>
    <w:p w14:paraId="31B84340">
      <w:pPr>
        <w:pStyle w:val="11"/>
        <w:widowControl/>
        <w:numPr>
          <w:ilvl w:val="0"/>
          <w:numId w:val="1"/>
        </w:numPr>
        <w:ind w:left="0" w:leftChars="0" w:firstLine="480" w:firstLineChars="0"/>
        <w:rPr>
          <w:rFonts w:ascii="Times New Roman" w:hAnsi="Times New Roman" w:eastAsia="SimSun" w:cs="Times New Roman"/>
          <w:b w:val="0"/>
          <w:kern w:val="2"/>
          <w:sz w:val="24"/>
          <w:szCs w:val="24"/>
        </w:rPr>
      </w:pPr>
      <w:r>
        <m:rPr/>
        <w:rPr>
          <w:rFonts w:hint="eastAsia" w:ascii="Times New Roman" w:hAnsi="Times New Roman" w:eastAsia="SimSun" w:cs="Times New Roman"/>
          <w:i/>
          <w:kern w:val="2"/>
          <w:sz w:val="24"/>
          <w:szCs w:val="24"/>
          <w:lang w:eastAsia="zh-CN"/>
          <w:oMath/>
        </w:rPr>
        <w:t>\[ p_\theta(x_{t-1} | x_t) = \mathcal{N}(x_{t-1}; \mu_\theta(x_t, t), \Sigma_\theta(x_t, t)) \]</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)=oldsymbolextitN(</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;oldsymbol</m:t>
        </m:r>
        <m:sSub>
          <m:sSubPr>
            <m:ctrlPr>
              <w:rPr>
                <w:rFonts w:hint="default" w:ascii="Cambria Math"/>
              </w:rPr>
            </m:ctrlPr>
          </m:sSubPr>
          <m:e>
            <m:r>
              <m:rPr/>
              <w:rPr>
                <w:rFonts w:hint="default" w:ascii="Cambria Math"/>
              </w:rPr>
              <m:t>extitμ</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,t),oldsymbol</m:t>
        </m:r>
        <m:sSub>
          <m:sSubPr>
            <m:ctrlPr>
              <w:rPr>
                <w:rFonts w:hint="default" w:ascii="Cambria Math"/>
              </w:rPr>
            </m:ctrlPr>
          </m:sSubPr>
          <m:e>
            <m:r>
              <m:rPr/>
              <w:rPr>
                <w:rFonts w:hint="default" w:ascii="Cambria Math"/>
              </w:rPr>
              <m:t>extitΣ</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,t))</m:t>
        </m:r>
      </m:oMath>
    </w:p>
    <w:p w14:paraId="4F8F638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훈련은 음의 변분 하한(음의 ELBO)을 최적화함으로써 수행된다. DDPM은 목표를 주입된 잡음(\(ε\))을 직접 예측하는 단순한 과제로 간소화하기 위해 교묘한 재파라미터화 방법을 사용하여, 널리 사용되는 단순화된 손실 함수를 도출한다.</w:t>
      </w:r>
    </w:p>
    <w:p w14:paraId="040018CD">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 L_{\text{simple}}(\theta) = \mathbb{E}_{t, x_0, \epsilon} [\| \epsilon - \epsilon_\theta( \sqrt{\bar{\alpha}_t} x_0 + \sqrt{1-\bar{\alpha}_t} \epsilon, t) \|^2 ] \]</w:t>
      </w:r>
    </w:p>
    <w:p w14:paraId="600B72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r>
        <w:rPr>
          <w:rFonts w:hint="eastAsia" w:ascii="Times New Roman" w:hAnsi="Times New Roman" w:eastAsia="SimSun" w:cs="Times New Roman"/>
          <w:kern w:val="0"/>
          <w:sz w:val="28"/>
          <w:szCs w:val="21"/>
          <w:lang w:eastAsia="zh-CN"/>
        </w:rPr>
        <w:t>개선된 DDPM은 이러한 기반 위에 학습 가능한 역분산 함수 \(\Sigma_\theta(x_t, t)\)와 하이브리드 손실 함수 \(\L_{\text{hybrid}} = \L_{\text{simple}} + \lambda \L_{\text{vlb}}\)을 도입하였으며, 여기서 \(\L_{\text{vlb}}\)는 변분 하한 손실 항이다.샘플링 과정에서는 \(x_T \sim \mathcal{N}(0, I)\)로 시작하여 반복적으로 \(\x_{t-1} = \mu_\theta(x_t, t) + \sigma_t z\)를 수행합니다. 여기서 \(z \sim \mathcal{N}(0, I)\)이며, \(\sigma_t\)는 학습된 값 또는 고정된 분산값에 의해 결정됩니다.</w:t>
      </w:r>
    </w:p>
    <w:p w14:paraId="6894BFDD">
      <w:pPr>
        <w:pStyle w:val="11"/>
        <w:widowControl/>
        <w:ind w:firstLine="480" w:firstLineChars="200"/>
        <w:rPr>
          <w:rFonts w:ascii="Times New Roman" w:hAnsi="Times New Roman" w:eastAsia="SimSun" w:cs="Times New Roman"/>
          <w:kern w:val="2"/>
          <w:sz w:val="24"/>
          <w:szCs w:val="24"/>
        </w:rPr>
      </w:pPr>
      <m:oMathPara>
        <m:oMath>
          <m:r>
            <m:rPr/>
            <w:rPr>
              <w:rFonts w:hint="default" w:ascii="Cambria Math"/>
            </w:rPr>
            <m:t>oldsymbol</m:t>
          </m:r>
          <m:sSub>
            <m:sSubPr>
              <m:ctrlPr>
                <w:rPr>
                  <w:rFonts w:hint="default" w:ascii="Cambria Math"/>
                </w:rPr>
              </m:ctrlPr>
            </m:sSubPr>
            <m:e>
              <m:r>
                <m:rPr/>
                <w:rPr>
                  <w:rFonts w:hint="default" w:ascii="Cambria Math"/>
                </w:rPr>
                <m:t>extitL</m:t>
              </m:r>
              <m:ctrlPr>
                <w:rPr>
                  <w:rFonts w:hint="default" w:ascii="Cambria Math"/>
                </w:rPr>
              </m:ctrlPr>
            </m:e>
            <m:sub>
              <m:r>
                <m:rPr/>
                <w:rPr>
                  <w:rFonts w:hint="default" w:ascii="Cambria Math"/>
                </w:rPr>
                <m:t>extsimple</m:t>
              </m:r>
              <m:ctrlPr>
                <w:rPr>
                  <w:rFonts w:hint="default" w:ascii="Cambria Math"/>
                </w:rPr>
              </m:ctrlPr>
            </m:sub>
          </m:sSub>
          <m:r>
            <m:rPr/>
            <w:rPr>
              <w:rFonts w:hint="default" w:ascii="Cambria Math"/>
            </w:rPr>
            <m:t>(heta)=oldsymbol</m:t>
          </m:r>
          <m:sSub>
            <m:sSubPr>
              <m:ctrlPr>
                <w:rPr>
                  <w:rFonts w:hint="default" w:ascii="Cambria Math"/>
                </w:rPr>
              </m:ctrlPr>
            </m:sSubPr>
            <m:e>
              <m:r>
                <m:rPr/>
                <w:rPr>
                  <w:rFonts w:hint="default" w:ascii="Cambria Math"/>
                </w:rPr>
                <m:t>extitE</m:t>
              </m:r>
              <m:ctrlPr>
                <w:rPr>
                  <w:rFonts w:hint="default" w:ascii="Cambria Math"/>
                </w:rPr>
              </m:ctrlPr>
            </m:e>
            <m:sub>
              <m:r>
                <m:rPr/>
                <w:rPr>
                  <w:rFonts w:hint="default" w:ascii="Cambria Math"/>
                </w:rPr>
                <m:t>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,oldsymbolextitϵ</m:t>
              </m:r>
              <m:ctrlPr>
                <w:rPr>
                  <w:rFonts w:hint="default" w:ascii="Cambria Math"/>
                </w:rPr>
              </m:ctrlPr>
            </m:sub>
          </m:sSub>
          <m:r>
            <m:rPr/>
            <w:rPr>
              <w:rFonts w:hint="default" w:ascii="Cambria Math"/>
            </w:rPr>
            <m:t>igl[igloldsymbolextit‖oldsymbolextitϵ−oldsymbol</m:t>
          </m:r>
          <m:sSub>
            <m:sSubPr>
              <m:ctrlPr>
                <w:rPr>
                  <w:rFonts w:hint="default" w:ascii="Cambria Math"/>
                </w:rPr>
              </m:ctrlPr>
            </m:sSubPr>
            <m:e>
              <m:r>
                <m:rPr/>
                <w:rPr>
                  <w:rFonts w:hint="default" w:ascii="Cambria Math"/>
                </w:rPr>
                <m:t>extitϵ</m:t>
              </m:r>
              <m:ctrlPr>
                <w:rPr>
                  <w:rFonts w:hint="default" w:ascii="Cambria Math"/>
                </w:rPr>
              </m:ctrlPr>
            </m:e>
            <m:sub>
              <m:r>
                <m:rPr/>
                <w:rPr>
                  <w:rFonts w:hint="default" w:ascii="Cambria Math"/>
                </w:rPr>
                <m:t>h</m:t>
              </m:r>
              <m:ctrlPr>
                <w:rPr>
                  <w:rFonts w:hint="default" w:ascii="Cambria Math"/>
                </w:rPr>
              </m:ctrlPr>
            </m:sub>
          </m:sSub>
          <m:r>
            <m:rPr/>
            <w:rPr>
              <w:rFonts w:hint="default" w:ascii="Cambria Math"/>
            </w:rPr>
            <m:t>etaigl(oldsymbolextit√̄</m:t>
          </m:r>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t</m:t>
              </m:r>
              <m:ctrlPr>
                <w:rPr>
                  <w:rFonts w:hint="default" w:ascii="Cambria Math"/>
                </w:rPr>
              </m:ctrlPr>
            </m:sub>
          </m:sSub>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+oldsymbolextit√1−̄</m:t>
          </m:r>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oldsymbolextitϵ,tigr)igloldsymbol</m:t>
          </m:r>
          <m:sSup>
            <m:sSupPr>
              <m:ctrlPr>
                <w:rPr>
                  <w:rFonts w:hint="default" w:ascii="Cambria Math"/>
                </w:rPr>
              </m:ctrlPr>
            </m:sSupPr>
            <m:e>
              <m:r>
                <m:rPr/>
                <w:rPr>
                  <w:rFonts w:hint="default" w:ascii="Cambria Math"/>
                </w:rPr>
                <m:t>extit‖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igr]</m:t>
          </m:r>
        </m:oMath>
      </m:oMathPara>
    </w:p>
    <w:p w14:paraId="1EB7401D">
      <w:pPr>
        <w:pStyle w:val="11"/>
        <w:widowControl/>
        <w:spacing w:before="120" w:beforeAutospacing="0" w:after="120" w:afterAutospacing="0" w:line="360" w:lineRule="auto"/>
        <w:ind w:firstLine="560" w:firstLineChars="200"/>
        <w:rPr>
          <w:rFonts w:hint="eastAsia" w:eastAsia="SimSun"/>
          <w:lang w:eastAsia="zh-CN"/>
        </w:rPr>
      </w:pPr>
      <w:bookmarkStart w:id="4" w:name="_Toc19002_ai"/>
      <w:r>
        <w:rPr>
          <w:rFonts w:hint="eastAsia" w:ascii="Times New Roman" w:hAnsi="Times New Roman" w:eastAsia="SimSun" w:cs="Times New Roman"/>
          <w:kern w:val="0"/>
          <w:sz w:val="28"/>
          <w:szCs w:val="21"/>
          <w:lang w:eastAsia="zh-CN"/>
        </w:rPr>
        <w:t>여기서 ϵ는 ∼N(0, I) 분포를 따릅니다. 개선된 DDPM은 학습 가능한 역분산 Σθ를 추가로 도입하고, 혼합 손실 함수 Lhybrid = Lsimple + λLvlb를 정의합니다. 여기서 Lvlb는 변분 하한에 대한 음의 로그 우도 항입니다.</w:t>
      </w:r>
      <w:bookmarkEnd w:id="4"/>
    </w:p>
    <w:p w14:paraId="7B2F69C4">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3.2 소음 조절 전략 설계</w:t>
      </w:r>
    </w:p>
    <w:p w14:paraId="62C71640">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노이즈 스케줄링(βt)은 전진 과정에서 정보가 손상되는 속도를 결정한다. 본 연구에서는 세 가지 전략을 비교하였다:</w:t>
      </w:r>
    </w:p>
    <w:p w14:paraId="03C671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1. 선형 스케줄링: 이는 DDPM의 기본 설정입니다.</w:t>
      </w:r>
      <m:oMath>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extmin</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extmax</m:t>
            </m:r>
            <m:ctrlPr>
              <w:rPr>
                <w:rFonts w:hint="default" w:ascii="Cambria Math"/>
              </w:rPr>
            </m:ctrlPr>
          </m:sub>
        </m:sSub>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extmin</m:t>
            </m:r>
            <m:ctrlPr>
              <w:rPr>
                <w:rFonts w:hint="default" w:ascii="Cambria Math"/>
              </w:rPr>
            </m:ctrlPr>
          </m:sub>
        </m:sSub>
        <m:r>
          <m:rPr/>
          <w:rPr>
            <w:rFonts w:hint="default" w:ascii="Cambria Math"/>
          </w:rPr>
          <m:t>)oldsymbolextit⋅(t/T)</m:t>
        </m:r>
      </m:oMath>
    </w:p>
    <w:p w14:paraId="4008EDD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bookmarkStart w:id="5" w:name="_Toc10254"/>
      <w:r>
        <w:rPr>
          <w:rFonts w:hint="eastAsia" w:ascii="Times New Roman" w:hAnsi="Times New Roman" w:eastAsia="SimSun" w:cs="Times New Roman"/>
          <w:kern w:val="0"/>
          <w:sz w:val="28"/>
          <w:szCs w:val="21"/>
          <w:lang w:eastAsia="zh-CN"/>
        </w:rPr>
        <w:t>선형 스케줄링: βt = βmin + (βmax − βmin) ⋅ (t/T)는 DDPM의 기본 설정입니다.</w:t>
      </w:r>
      <w:bookmarkEnd w:id="5"/>
    </w:p>
    <w:p w14:paraId="7C2A3D17">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2. 코사인 스케줄링: 개선된 DDPM에 따라 정의되며, 이 스케줄링 방식은 프로세스의 시작과 종료 시 변화가 더욱 부드럽게 이루어진다.</w:t>
      </w:r>
      <m:oMath>
        <m:r>
          <m:rPr/>
          <w:rPr>
            <w:rFonts w:hint="default" w:ascii="Cambria Math"/>
          </w:rPr>
          <m:t>ar</m:t>
        </m:r>
        <m:sSub>
          <m:sSubPr>
            <m:ctrlPr>
              <w:rPr>
                <w:rFonts w:hint="default" w:ascii="Cambria Math"/>
              </w:rPr>
            </m:ctrlPr>
          </m:sSubPr>
          <m:e>
            <m:r>
              <m:rPr/>
              <w:rPr>
                <w:rFonts w:hint="default" w:ascii="Cambria Math"/>
              </w:rPr>
              <m:t>oldsymbolextitα</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=fracf(t)f(0)f(t)=oldsymbolextitcosigl(fract/T+s1+soldsymbolextit⋅fracoldsymbolextitπ2igr</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s=0.008</m:t>
        </m:r>
      </m:oMath>
    </w:p>
    <w:p w14:paraId="1B881735">
      <w:pPr>
        <w:pStyle w:val="11"/>
        <w:widowControl/>
        <w:spacing w:before="120" w:beforeAutospacing="0" w:after="120" w:afterAutospacing="0"/>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 xml:space="preserve">3. 제곱근 스케줄링: 보다 간단한 사용자 정의 방안으로 </w:t>
      </w:r>
      <m:oMath>
        <m:r>
          <m:rPr/>
          <w:rPr>
            <w:rFonts w:hint="default" w:ascii="Cambria Math"/>
          </w:rPr>
          <m:t>et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=1−oldsymbolextit√1−(t/T)</m:t>
        </m:r>
      </m:oMath>
      <w:r>
        <w:rPr>
          <w:rFonts w:hint="eastAsia" w:ascii="Times New Roman" w:hAnsi="Times New Roman" w:eastAsia="SimSun" w:cs="Times New Roman"/>
          <w:kern w:val="0"/>
          <w:sz w:val="28"/>
          <w:szCs w:val="21"/>
          <w:lang w:eastAsia="zh-CN"/>
        </w:rPr>
        <w:t>정의되며, 코사인 스케줄링의 부드러운 특성을 보다 간단한 연산을 통해 모방하는 것을 목적으로 합니다.</w:t>
      </w:r>
    </w:p>
    <w:p w14:paraId="5BE2D46F">
      <w:pPr>
        <w:pStyle w:val="3"/>
        <w:keepNext/>
        <w:widowControl/>
        <w:numPr>
          <w:ilvl w:val="0"/>
          <w:numId w:val="0"/>
        </w:numPr>
        <w:spacing w:before="240" w:beforeAutospacing="0" w:after="120" w:afterLines="50" w:afterAutospacing="0"/>
        <w:ind w:left="0" w:leftChars="0" w:firstLine="0" w:firstLineChars="0"/>
        <w:rPr>
          <w:rFonts w:hint="eastAsia" w:ascii="Times New Roman" w:hAnsi="Times New Roman" w:eastAsia="黑体" w:cs="Times New Roman"/>
          <w:b w:val="0"/>
          <w:kern w:val="2"/>
          <w:sz w:val="28"/>
          <w:szCs w:val="28"/>
          <w:lang w:eastAsia="zh-CN" w:bidi="ar-SA"/>
        </w:rPr>
      </w:pPr>
      <w:bookmarkStart w:id="6" w:name="_Toc10254_ai"/>
      <w:bookmarkEnd w:id="6"/>
      <w:r>
        <w:rPr>
          <w:rFonts w:hint="eastAsia" w:ascii="Times New Roman" w:hAnsi="Times New Roman" w:eastAsia="黑体" w:cs="Times New Roman"/>
          <w:kern w:val="44"/>
          <w:sz w:val="32"/>
          <w:szCs w:val="32"/>
          <w:lang w:eastAsia="zh-CN" w:bidi="ar-SA"/>
        </w:rPr>
        <w:t>3.3 훈련 구성의 단순화 방안</w:t>
      </w:r>
    </w:p>
    <w:p w14:paraId="5D9DCFB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훈련 구성의 단순화는 역전 과정의 분산 설정 및 손실 함수에 초점을 맞추고 있습니다.</w:t>
      </w:r>
    </w:p>
    <w:p w14:paraId="27868B28">
      <w:pPr>
        <w:pStyle w:val="11"/>
        <w:widowControl/>
        <w:spacing w:before="120" w:beforeAutospacing="0" w:after="120" w:afterAutospacing="0"/>
        <w:ind w:left="0" w:leftChars="0" w:firstLine="0" w:firstLineChars="0"/>
      </w:pPr>
    </w:p>
    <w:p w14:paraId="682B463F">
      <w:pPr>
        <w:pStyle w:val="11"/>
        <w:widowControl/>
        <w:spacing w:before="120" w:beforeAutospacing="0" w:after="120" w:afterAutospacing="0"/>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1. 완전한 구성: 개선된 DDPM의 설정을 그대로 사용하면 학습 가능한 역분산 함수 및 혼합 손실 함수 Lhybrid를 적용할 수 있습니다.</w:t>
      </w:r>
    </w:p>
    <w:p w14:paraId="281BD617">
      <w:pPr>
        <w:pStyle w:val="11"/>
        <w:widowControl/>
        <w:spacing w:before="120" w:beforeAutospacing="0" w:after="120" w:afterAutospacing="0"/>
        <w:ind w:left="0" w:leftChars="0" w:firstLine="0" w:firstLineChars="0"/>
      </w:pPr>
    </w:p>
    <w:p w14:paraId="3AB5325C">
      <w:pPr>
        <w:pStyle w:val="11"/>
        <w:widowControl/>
        <w:spacing w:before="120" w:beforeAutospacing="0" w:after="120" w:afterAutospacing="0" w:line="360" w:lineRule="auto"/>
        <w:ind w:firstLine="560" w:firstLineChars="200"/>
        <w:rPr>
          <w:rFonts w:hint="eastAsia" w:eastAsia="SimSun"/>
          <w:lang w:eastAsia="zh-CN"/>
        </w:rPr>
      </w:pPr>
      <w:bookmarkStart w:id="7" w:name="_Toc15277_ai"/>
      <w:r>
        <w:rPr>
          <w:rFonts w:hint="eastAsia" w:ascii="Times New Roman" w:hAnsi="Times New Roman" w:eastAsia="SimSun" w:cs="Times New Roman"/>
          <w:kern w:val="0"/>
          <w:sz w:val="28"/>
          <w:szCs w:val="21"/>
          <w:lang w:eastAsia="zh-CN"/>
        </w:rPr>
        <w:t xml:space="preserve">2. 구성 간소화: 보다 기본적인 설정으로 되돌아가며, 고정된 역분산 </w:t>
      </w:r>
      <m:oMath>
        <m:sSub>
          <m:sSubPr>
            <m:ctrlPr>
              <w:rPr>
                <w:rFonts w:hint="default" w:ascii="Cambria Math"/>
              </w:rPr>
            </m:ctrlPr>
          </m:sSubPr>
          <m:e>
            <m:acc>
              <m:accPr>
                <m:chr m:val="̃"/>
                <m:ctrlPr>
                  <w:rPr>
                    <w:rFonts w:hint="default" w:ascii="Cambria Math"/>
                  </w:rPr>
                </m:ctrlPr>
              </m:accPr>
              <m:e>
                <m:r>
                  <m:rPr/>
                  <w:rPr>
                    <w:rFonts w:hint="default" w:ascii="Cambria Math"/>
                  </w:rPr>
                  <m:t>β</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1−</m:t>
            </m:r>
            <m:sSub>
              <m:sSubPr>
                <m:ctrlPr>
                  <w:rPr>
                    <w:rFonts w:hint="default" w:ascii="Cambria Math"/>
                  </w:rPr>
                </m:ctrlPr>
              </m:sSubPr>
              <m:e>
                <m:acc>
                  <m:accPr>
                    <m:chr m:val="̄"/>
                    <m:ctrlPr>
                      <w:rPr>
                        <w:rFonts w:hint="default" w:ascii="Cambria Math"/>
                      </w:rPr>
                    </m:ctrlPr>
                  </m:accPr>
                  <m:e>
                    <m:r>
                      <m:rPr/>
                      <w:rPr>
                        <w:rFonts w:hint="default" w:ascii="Cambria Math"/>
                      </w:rPr>
                      <m:t>α</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ctrlPr>
              <w:rPr>
                <w:rFonts w:hint="default" w:ascii="Cambria Math"/>
              </w:rPr>
            </m:ctrlPr>
          </m:num>
          <m:den>
            <m:r>
              <m:rPr/>
              <w:rPr>
                <w:rFonts w:hint="default" w:ascii="Cambria Math"/>
              </w:rPr>
              <m:t>1−</m:t>
            </m:r>
            <m:sSub>
              <m:sSubPr>
                <m:ctrlPr>
                  <w:rPr>
                    <w:rFonts w:hint="default" w:ascii="Cambria Math"/>
                  </w:rPr>
                </m:ctrlPr>
              </m:sSubPr>
              <m:e>
                <m:acc>
                  <m:accPr>
                    <m:chr m:val="̄"/>
                    <m:ctrlPr>
                      <w:rPr>
                        <w:rFonts w:hint="default" w:ascii="Cambria Math"/>
                      </w:rPr>
                    </m:ctrlPr>
                  </m:accPr>
                  <m:e>
                    <m:r>
                      <m:rPr/>
                      <w:rPr>
                        <w:rFonts w:hint="default" w:ascii="Cambria Math"/>
                      </w:rPr>
                      <m:t>α</m:t>
                    </m:r>
                    <m:ctrlPr>
                      <w:rPr>
                        <w:rFonts w:hint="default" w:ascii="Cambria Math"/>
                      </w:rPr>
                    </m:ctrlPr>
                  </m:e>
                </m:acc>
                <m:ctrlPr>
                  <w:rPr>
                    <w:rFonts w:hint="default" w:ascii="Cambria Math"/>
                  </w:rPr>
                </m:ctrlPr>
              </m:e>
              <m:sub>
                <m:r>
                  <m:rPr/>
                  <w:rPr>
                    <w:rFonts w:hint="default" w:ascii="Cambria Math"/>
                  </w:rPr>
                  <m:t>t−1</m:t>
                </m:r>
                <m:ctrlPr>
                  <w:rPr>
                    <w:rFonts w:hint="default" w:ascii="Cambria Math"/>
                  </w:rPr>
                </m:ctrlPr>
              </m:sub>
            </m:sSub>
            <m:ctrlPr>
              <w:rPr>
                <w:rFonts w:hint="default" w:ascii="Cambria Math"/>
              </w:rPr>
            </m:ctrlPr>
          </m:den>
        </m:f>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t</m:t>
            </m:r>
            <m:ctrlPr>
              <w:rPr>
                <w:rFonts w:hint="default" w:ascii="Cambria Math"/>
              </w:rPr>
            </m:ctrlPr>
          </m:sub>
        </m:sSub>
      </m:oMath>
      <w:r>
        <w:rPr>
          <w:rFonts w:hint="eastAsia" w:ascii="Times New Roman" w:hAnsi="Times New Roman" w:eastAsia="SimSun" w:cs="Times New Roman"/>
          <w:kern w:val="0"/>
          <w:sz w:val="28"/>
          <w:szCs w:val="21"/>
          <w:lang w:eastAsia="zh-CN"/>
        </w:rPr>
        <w:t>값을 사용하고 단순화된 손실 함수(Lsimple)를 적용합니다. 이 설정은 변분 하한에 대한 직접적인 최적화 및 관련 파라미터 학습을 제거합니다.</w:t>
      </w:r>
      <w:bookmarkEnd w:id="7"/>
    </w:p>
    <w:p w14:paraId="16CE4B3B">
      <w:pPr>
        <w:pStyle w:val="3"/>
        <w:keepNext/>
        <w:pageBreakBefore/>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3.4 실험 설계</w:t>
      </w:r>
    </w:p>
    <w:p w14:paraId="6400AD5A">
      <w:pPr>
        <w:pStyle w:val="11"/>
        <w:widowControl/>
        <w:spacing w:before="120" w:beforeAutospacing="0" w:after="120" w:afterAutospacing="0"/>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공정한 비교를 위해 모든 실험은 동일한 U-Net 본체 네트워크, 최적화기(AdamW), 학습률 및 총 훈련 라운드 수를 공유합니다. 실험은 두 가지 고전 데이터셋을 사용하여 수행되었으며, MNIST는 초기 검증 및 신속한 반복에 사용되었고, CIFAR-10은 주요 결론 도출에 사용되었습니다. 각 실험은 세 가지 고정된 랜덤 시드에서 실행되었으며, 평균 성능과 표준편차가 보고되었습니다.</w:t>
      </w:r>
    </w:p>
    <w:p w14:paraId="73C3D925">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평가 지표에는 다음과 같은 항목들이 포함됩니다:</w:t>
      </w:r>
    </w:p>
    <w:p w14:paraId="452094F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1. 생성 품질: 프레체트 시작 거리(FID, 값이 낮을수록 좋음) 및 피크 신호 대 잡음비(PSNR, 값이 높을수록 좋음)</w:t>
      </w:r>
    </w:p>
    <w:p w14:paraId="0D3C90B4">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2. 효율성: 총 훈련 시간 및 다양한 동작 횟수에서의 샘플링 시간</w:t>
      </w:r>
    </w:p>
    <w:p w14:paraId="6B1F1631">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3. 훈련의 안정성: 훈련 손실 곡선의 마지막 50개 에포크 동안의 분산</w:t>
      </w:r>
    </w:p>
    <w:p w14:paraId="18FCE9E3">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구체적인 대조 실험 그룹 설정은 표 1에 나와 있으며, 노이즈 스케줄링과 훈련 구성의 영향을 분리하여 분석하기 위한 것입니다.</w:t>
      </w:r>
    </w:p>
    <w:p w14:paraId="5E1F8429">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표 1: 핵심 실험 그룹 설정</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51"/>
        <w:gridCol w:w="992"/>
        <w:gridCol w:w="1440"/>
        <w:gridCol w:w="3931"/>
      </w:tblGrid>
      <w:tr w14:paraId="0B84AFF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0302DC8">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실험군 식별 정보</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483AF5">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소음 배분</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72F71C6">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훈련 설정</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B8C8A32">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설명</w:t>
            </w:r>
          </w:p>
        </w:tc>
      </w:tr>
      <w:tr w14:paraId="3F2CA0D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D73E3B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Exp-Baseline​</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1ECDDC9">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코사인</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B495EE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학습 분산 + 혼합 손실</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1B3595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성능 기준으로서의 완전하고 개선된 DDPM 구성</w:t>
            </w:r>
          </w:p>
        </w:tc>
      </w:tr>
      <w:tr w14:paraId="45C6EFB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CA778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Exp-DDPM​</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4D15A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선형</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6099D3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고정 분산 + 단순화 손실</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28EA49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원본 DDPM 구성은 단순화의 출발점으로 사용됩니다.</w:t>
            </w:r>
          </w:p>
        </w:tc>
      </w:tr>
      <w:tr w14:paraId="36C0397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022E7C1">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20D082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선형</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16A7804">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고정 분산 + 단순화 손실</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16B349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간소화된 구성에서의 선형 스케줄링 테스트 성능</w:t>
            </w:r>
          </w:p>
        </w:tc>
      </w:tr>
      <w:tr w14:paraId="3C5EC48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87DA52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117943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코사인</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8739001">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고정 분산 + 단순화 손실</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0178FA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간소화된 구성 환경에서 코사인 스케줄링의 성능을 테스트합니다.</w:t>
            </w:r>
          </w:p>
        </w:tc>
      </w:tr>
      <w:tr w14:paraId="05971053">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D7C1E0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Exp-A3​</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0687D3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제곱근</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DEEB5E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고정 분산 + 단순화 손실</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5967F8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커스텀 제곱근 스케줄링의 성능을 테스트합니다.</w:t>
            </w:r>
          </w:p>
        </w:tc>
      </w:tr>
    </w:tbl>
    <w:p w14:paraId="2A3DE3E7">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bookmarkStart w:id="8" w:name="_Toc16299_ai"/>
      <w:bookmarkStart w:id="9" w:name="_Toc25739"/>
      <w:r>
        <w:rPr>
          <w:rFonts w:hint="eastAsia" w:ascii="Times New Roman" w:hAnsi="Times New Roman" w:eastAsia="黑体" w:cs="Times New Roman"/>
          <w:kern w:val="44"/>
          <w:sz w:val="28"/>
          <w:szCs w:val="32"/>
          <w:lang w:eastAsia="zh-CN" w:bidi="ar-SA"/>
        </w:rPr>
        <w:t xml:space="preserve">4. 실험 및 </w:t>
      </w:r>
      <w:bookmarkEnd w:id="8"/>
      <w:r>
        <w:rPr>
          <w:rFonts w:hint="eastAsia" w:ascii="Times New Roman" w:hAnsi="Times New Roman" w:eastAsia="黑体" w:cs="Times New Roman"/>
          <w:kern w:val="44"/>
          <w:sz w:val="28"/>
          <w:szCs w:val="32"/>
          <w:lang w:eastAsia="zh-CN" w:bidi="ar-SA"/>
        </w:rPr>
        <w:t>분석</w:t>
      </w:r>
      <w:bookmarkEnd w:id="9"/>
    </w:p>
    <w:p w14:paraId="0E9C3B04">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bookmarkStart w:id="10" w:name="_Toc25739_ai"/>
      <w:r>
        <w:rPr>
          <w:rFonts w:hint="eastAsia" w:ascii="Times New Roman" w:hAnsi="Times New Roman" w:eastAsia="黑体" w:cs="Times New Roman"/>
          <w:kern w:val="2"/>
          <w:sz w:val="28"/>
          <w:szCs w:val="28"/>
          <w:lang w:eastAsia="zh-CN" w:bidi="ar-SA"/>
        </w:rPr>
        <w:t xml:space="preserve">4.1 소음 조절 전략의 </w:t>
      </w:r>
      <w:bookmarkEnd w:id="10"/>
      <w:r>
        <w:rPr>
          <w:rFonts w:hint="eastAsia" w:ascii="Times New Roman" w:hAnsi="Times New Roman" w:eastAsia="黑体" w:cs="Times New Roman"/>
          <w:kern w:val="2"/>
          <w:sz w:val="28"/>
          <w:szCs w:val="28"/>
          <w:lang w:eastAsia="zh-CN" w:bidi="ar-SA"/>
        </w:rPr>
        <w:t>비교 실험</w:t>
      </w:r>
    </w:p>
    <w:p w14:paraId="51E530A5">
      <w:pPr>
        <w:pStyle w:val="11"/>
        <w:widowControl/>
        <w:spacing w:before="120" w:beforeAutospacing="0" w:after="120" w:afterAutospacing="0" w:line="360" w:lineRule="auto"/>
        <w:ind w:firstLine="560" w:firstLineChars="200"/>
        <w:rPr>
          <w:rFonts w:hint="eastAsia" w:eastAsia="SimSun"/>
          <w:lang w:eastAsia="zh-CN"/>
        </w:rPr>
      </w:pPr>
      <w:r>
        <w:rPr>
          <w:rFonts w:hint="eastAsia" w:ascii="Times New Roman" w:hAnsi="Times New Roman" w:eastAsia="SimSun" w:cs="Times New Roman"/>
          <w:kern w:val="0"/>
          <w:sz w:val="28"/>
          <w:szCs w:val="21"/>
          <w:lang w:eastAsia="zh-CN"/>
        </w:rPr>
        <w:t>간소화된 훈련 구성을 고정한 조건에서 CIFAR-10 데이터셋에서 선형 스케줄링, 제곱근 스케줄링, 코사인 스케줄링의 세 가지 노이즈 스케줄링 전략을 비교하였다. 모든 실험에서는 비교의 공정성을 보장하기 위해 동일한 네트워크 아키텍처, 훈련 라운드 수 및 최적화기 설정을 유지하였다. 실험 결과는 표 2에 나와 있다.</w:t>
      </w:r>
    </w:p>
    <w:p w14:paraId="20D0A00F">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표 2: 단순화된 학습 구성 하에서 다양한 노이즈 스케줄링 전략의 성능 비교 (CIFAR-10)</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66"/>
        <w:gridCol w:w="1576"/>
        <w:gridCol w:w="1681"/>
        <w:gridCol w:w="2491"/>
      </w:tblGrid>
      <w:tr w14:paraId="75579BD1">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9B861BF">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실험군 (스케줄링 전략)</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BDAC0D">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00E59C5">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PSNR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7B9BCBD">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훈련 안정성 (분산, ↓)</w:t>
            </w:r>
          </w:p>
        </w:tc>
      </w:tr>
      <w:tr w14:paraId="6CAACDA9">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F74691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Exp-A1 (선형)</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DA3633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12.37 ± 0.21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4071BC">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22.15 ± 0.18</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4BF65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6.81 × 10⁻⁴</w:t>
            </w:r>
          </w:p>
        </w:tc>
      </w:tr>
      <w:tr w14:paraId="04A558BD">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D90C8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Exp-A2 (코사인)</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0D0177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9.85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9FAEC2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23.42 ± 0.12​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C0FE19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5.23 × 10⁻⁴​</w:t>
            </w:r>
          </w:p>
        </w:tc>
      </w:tr>
      <w:tr w14:paraId="71812AA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45FB3E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Exp-A3 (제곱근)</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CE3A3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10.29 ± 0.19</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736869">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23.18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C0D1AF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5.47 × 10⁻⁴</w:t>
            </w:r>
          </w:p>
        </w:tc>
      </w:tr>
    </w:tbl>
    <w:p w14:paraId="7BCE06EA">
      <w:pPr>
        <w:pStyle w:val="11"/>
        <w:widowControl/>
        <w:spacing w:before="120" w:beforeAutospacing="0" w:after="120" w:afterAutospacing="0" w:line="360" w:lineRule="auto"/>
        <w:ind w:firstLine="560" w:firstLineChars="200"/>
        <w:rPr>
          <w:rFonts w:hint="eastAsia" w:eastAsia="SimSun"/>
          <w:lang w:eastAsia="zh-CN"/>
        </w:rPr>
      </w:pPr>
      <w:bookmarkStart w:id="11" w:name="_Toc23310_ai"/>
      <w:r>
        <w:rPr>
          <w:rFonts w:hint="eastAsia" w:ascii="Times New Roman" w:hAnsi="Times New Roman" w:eastAsia="SimSun" w:cs="Times New Roman"/>
          <w:kern w:val="0"/>
          <w:sz w:val="28"/>
          <w:szCs w:val="21"/>
          <w:lang w:eastAsia="zh-CN"/>
        </w:rPr>
        <w:t>결과 분석에 따르면, 동일한 단순화된 훈련 설정 하에서 코사인 스케줄링이 최적의 FID 점수를 달성하여 그 설계상의 우위를 입증하였다. 특히 제곱근 스케줄링의 성능은 코사인 스케줄링과 매우 유사하며, FID 차이는 단 4.5%에 불과하고 선형 스케줄링보다 명확히 우수하다. 또한 코사인 스케줄링과 제곱근 스케줄링의 훈련 손실 곡선 간 변동량이 작아 두 방법 모두 보다 안정적인 최적화 과정을 수행할 수 있음을 보여준다. 이 결과는 확산 과정의 시작 및 종료 단계에서 변화가 더욱 부드러운 노이즈 스케줄링의 구현이 중요함을 시사한다. 그러나 간단한 제곱근 함수만으로도 코사인 스케줄링의 성능에 효과적으로 근접할 수 있으며, 이는 간결성을 추구하는 응용 분야에 고성능의 경량 대안을 제공한다.또한 시각화된 생성 샘플들은 제곱근 스케줄링과 코사인 스케줄링이 생성한 이미지가 선형 스케줄링에 비해 디테일 풍부성 및 구조 일관성 면에서 모두 우수함을 보여줍니다.</w:t>
      </w:r>
      <w:bookmarkEnd w:id="11"/>
    </w:p>
    <w:p w14:paraId="7C91B258">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4.2 훈련 구성의 간소화를 위한 검증 실험</w:t>
      </w:r>
    </w:p>
    <w:p w14:paraId="2F5FA9A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최적의 성능을 보이는 코사인 노이즈 스케줄링을 고정하여, 완전한 훈련 설정과 단순화된 훈련 설정을 추가로 비교하였다. 완전한 설정은 개선된 DDPM 설계를 따르며, 학습 가능한 역과정 분산과 혼합 목표 함수(단순화되어 Lvlb 항으로 구성됨)를 포함한다. 반면 단순화된 설정은 고정된 분산과 단순화된 평균 제곱 오차 손실 함수를 사용한다. 실험은 동일한 초기화 조건 및 훈련 시간 하에서 수행되었으며, 결과는 표 3에 나와 있다.</w:t>
      </w:r>
    </w:p>
    <w:p w14:paraId="7B03FA9F">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표 3: 훈련 구성의 단순화 효과에 대한 절제 분석 (코사인 스케줄링 기반)</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27"/>
        <w:gridCol w:w="1431"/>
        <w:gridCol w:w="1633"/>
        <w:gridCol w:w="2623"/>
      </w:tblGrid>
      <w:tr w14:paraId="625E7D6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1915B23">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훈련 설정</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7FD307B">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 (↓)</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B91E8A1">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훈련 시간 (시간)</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002E50">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복잡도 평가를 구현합니다</w:t>
            </w:r>
          </w:p>
        </w:tc>
      </w:tr>
      <w:tr w14:paraId="56260305">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700864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Exp-Baseline (완전한 형태)</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3F1696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9.02 ± 0.12​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F1D17E4">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22.3</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59D370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높음</w:t>
            </w:r>
          </w:p>
        </w:tc>
      </w:tr>
      <w:tr w14:paraId="58A8790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7EE5A3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Exp-A2 (간소화된 버전)</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F7FACD5">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9.85 ± 0.15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0792F1A">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18.7​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970C7A8">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낮음</w:t>
            </w:r>
          </w:p>
        </w:tc>
      </w:tr>
    </w:tbl>
    <w:p w14:paraId="71F58FF6">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0"/>
          <w:sz w:val="28"/>
          <w:szCs w:val="21"/>
          <w:lang w:eastAsia="zh-CN"/>
        </w:rPr>
      </w:pPr>
      <w:bookmarkStart w:id="12" w:name="_Toc8465_ai"/>
      <w:r>
        <w:rPr>
          <w:rFonts w:hint="eastAsia" w:ascii="Times New Roman" w:hAnsi="Times New Roman" w:eastAsia="SimSun" w:cs="Times New Roman"/>
          <w:kern w:val="0"/>
          <w:sz w:val="28"/>
          <w:szCs w:val="21"/>
          <w:lang w:eastAsia="zh-CN"/>
        </w:rPr>
        <w:t>데이터 분석 결과, 단순화된 훈련 구성은 생성 품질에 측정 가능한 저하를 초래하며 FID 점수가 약 9.2% 상승하는 것으로 나타났습니다. 이는 개선된 DDPM에 도입된 학습 가능한 분산 항과 혼합 손실 함수가 모델의 이론적 경계를 더욱 최적화하고 극한 수준의 생성 품질을 달성하는 데 효과적임을 입증합니다. 한편, 단순화된 구성은 훈련 시간을 16% 이상 절감시켰으며, 이는 주로 혼합 손실 함수 내 Lvlb 항의 계산 부담 및 학습 가능한 분산 파라미터의 그래디언트 업데이트를 피함으로써 가능했습니다. 무엇보다도 단순화된 구성은 코드의 구현 복잡도와 이해 난이도를 현저히 낮추었습니다.이 균형 관계는 극단적인 성능 지표를 과도하게 추구하지 않고 개발 효율성, 훈련 속도 및 코드의 유지보수성에 중점을 둔 적용 사례(예: 교육, 프로토타입 검증, 자원 제한된 배포 환경)에서 구성 간소화가 매우 높은 실용적 가치를 지닌다는 것을 명확히 보여줍니다. 실험 결과 또한 구성 간소화가 다양한 무작위 시드 조건에서도 일관된 성능 경향을 유지함으로써 그 신뢰성을 입증했습니다.</w:t>
      </w:r>
      <w:bookmarkEnd w:id="12"/>
    </w:p>
    <w:p w14:paraId="414E6CED">
      <w:pPr>
        <w:pStyle w:val="3"/>
        <w:keepNext/>
        <w:widowControl/>
        <w:numPr>
          <w:ilvl w:val="0"/>
          <w:numId w:val="0"/>
        </w:numPr>
        <w:spacing w:before="240" w:beforeLines="50" w:beforeAutospacing="0" w:after="120" w:afterLines="5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4.3 샘플링 효율성과 생성 품질 간의 균형 분석</w:t>
      </w:r>
    </w:p>
    <w:p w14:paraId="4ECC155A">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성능이 최적화된 단순화된 구성(Exp-A2)을 기반으로, 추론 단계에서 샘플링 단계 수를 줄이는 것이 생성 품질과 처리 속도에 미치는 영향을 추가로 검증하였다. 실험에서는 샘플링 단계 수를 각각 200, 300, 500, 1000회로 설정하고 동일한 테스트 세트에서 FID 점수와 개별 샘플의 평균 생성 소요 시간을 계산하였다. 실험 결과는 그림 1의 균형 곡선 및 표 4에 나와 있다.</w:t>
      </w:r>
    </w:p>
    <w:p w14:paraId="665BDDF0">
      <w:pPr>
        <w:pStyle w:val="31"/>
        <w:widowControl/>
        <w:rPr>
          <w:rFonts w:hint="eastAsia" w:eastAsia="SimSun"/>
          <w:lang w:eastAsia="zh-CN"/>
        </w:rPr>
      </w:pPr>
      <w:r>
        <w:rPr>
          <w:rFonts w:hint="eastAsia" w:ascii="Times New Roman" w:hAnsi="Times New Roman" w:eastAsia="SimSun" w:cs="Times New Roman"/>
          <w:kern w:val="0"/>
          <w:sz w:val="28"/>
          <w:szCs w:val="21"/>
          <w:lang w:eastAsia="zh-CN" w:bidi="ar-SA"/>
        </w:rPr>
        <w:t>표 4: 다양한 샘플링 단계에서의 성능 및 효율성 (Exp-A2 구성 기반)</w:t>
      </w:r>
    </w:p>
    <w:tbl>
      <w:tblPr>
        <w:tblStyle w:val="19"/>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0"/>
        <w:gridCol w:w="646"/>
        <w:gridCol w:w="3177"/>
        <w:gridCol w:w="2611"/>
      </w:tblGrid>
      <w:tr w14:paraId="1CC2368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84DA12A">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샘플링 단계 수</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54DAB90">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1E907F6C">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단일 샘플의 채취 시간(초)</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EAA5913">
            <w:pPr>
              <w:pStyle w:val="17"/>
              <w:keepNext w:val="0"/>
              <w:keepLines w:val="0"/>
              <w:widowControl/>
              <w:suppressLineNumbers w:val="0"/>
              <w:pBdr>
                <w:top w:val="none" w:color="auto" w:sz="0" w:space="0"/>
                <w:left w:val="none" w:color="auto" w:sz="0" w:space="0"/>
                <w:bottom w:val="none" w:color="auto" w:sz="0" w:space="0"/>
                <w:right w:val="none" w:color="auto" w:sz="0" w:space="0"/>
              </w:pBdr>
              <w:jc w:val="center"/>
              <w:rPr>
                <w:sz w:val="18"/>
                <w:szCs w:val="21"/>
              </w:rPr>
            </w:pPr>
            <w:r>
              <w:rPr>
                <w:rFonts w:hint="eastAsia" w:ascii="Times New Roman" w:hAnsiTheme="minorHAnsi" w:eastAsiaTheme="minorEastAsia" w:cstheme="minorBidi"/>
                <w:b/>
                <w:bCs/>
                <w:kern w:val="0"/>
                <w:sz w:val="28"/>
                <w:szCs w:val="21"/>
                <w:lang w:val="en-US" w:eastAsia="zh-CN" w:bidi="ar"/>
              </w:rPr>
              <w:t>FID의 상대적 증가율</w:t>
            </w:r>
          </w:p>
        </w:tc>
      </w:tr>
      <w:tr w14:paraId="697D02DB">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04F8B1F">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1000 (참조용)</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68EC4C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9.85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45FBD89D">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45.2</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E78415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0%</w:t>
            </w:r>
          </w:p>
        </w:tc>
      </w:tr>
      <w:tr w14:paraId="6DC4F69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883834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4B9F92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10.41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39C597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22.8</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359D742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+5.7%</w:t>
            </w:r>
          </w:p>
        </w:tc>
      </w:tr>
      <w:tr w14:paraId="5F1233BC">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7F11BBF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300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6F8BB20">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11.25</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9A3500E">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13.7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0BA28376">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+14.2%</w:t>
            </w:r>
          </w:p>
        </w:tc>
      </w:tr>
      <w:tr w14:paraId="229F01A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2442ED7B">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200</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5B8024B2">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13.07</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87CE6A7">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9.1</w:t>
            </w:r>
          </w:p>
        </w:tc>
        <w:tc>
          <w:tcPr>
            <w:tcW w:w="0" w:type="auto"/>
            <w:tcBorders>
              <w:top w:val="single" w:color="E0E0E0" w:sz="6" w:space="0"/>
              <w:left w:val="single" w:color="E0E0E0" w:sz="6" w:space="0"/>
              <w:bottom w:val="single" w:color="E0E0E0" w:sz="6" w:space="0"/>
              <w:right w:val="single" w:color="E0E0E0" w:sz="6" w:space="0"/>
            </w:tcBorders>
            <w:shd w:val="clear" w:color="auto" w:fill="auto"/>
            <w:vAlign w:val="center"/>
          </w:tcPr>
          <w:p w14:paraId="60F0ECF8">
            <w:pPr>
              <w:pStyle w:val="17"/>
              <w:keepNext w:val="0"/>
              <w:keepLines w:val="0"/>
              <w:widowControl/>
              <w:suppressLineNumbers w:val="0"/>
              <w:pBdr>
                <w:top w:val="none" w:color="auto" w:sz="0" w:space="0"/>
                <w:left w:val="none" w:color="auto" w:sz="0" w:space="0"/>
                <w:bottom w:val="none" w:color="auto" w:sz="0" w:space="0"/>
                <w:right w:val="none" w:color="auto" w:sz="0" w:space="0"/>
              </w:pBdr>
              <w:rPr>
                <w:sz w:val="18"/>
                <w:szCs w:val="21"/>
              </w:rPr>
            </w:pPr>
            <w:r>
              <w:rPr>
                <w:rFonts w:hint="eastAsia" w:ascii="Times New Roman" w:hAnsiTheme="minorHAnsi" w:eastAsiaTheme="minorEastAsia" w:cstheme="minorBidi"/>
                <w:kern w:val="0"/>
                <w:sz w:val="28"/>
                <w:szCs w:val="21"/>
                <w:lang w:val="en-US" w:eastAsia="zh-CN" w:bidi="ar"/>
              </w:rPr>
              <w:t>+32.7%</w:t>
            </w:r>
          </w:p>
        </w:tc>
      </w:tr>
    </w:tbl>
    <w:p w14:paraId="0592BCCF">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8"/>
          <w:szCs w:val="24"/>
          <w:lang w:eastAsia="zh-CN"/>
        </w:rPr>
      </w:pPr>
      <w:bookmarkStart w:id="13" w:name="_Toc1942_ai"/>
      <w:r>
        <w:rPr>
          <w:rFonts w:hint="eastAsia" w:ascii="Times New Roman" w:hAnsi="Times New Roman" w:eastAsia="SimSun" w:cs="Times New Roman"/>
          <w:kern w:val="2"/>
          <w:sz w:val="28"/>
          <w:szCs w:val="24"/>
          <w:lang w:eastAsia="zh-CN"/>
        </w:rPr>
        <w:t>분석 결과, 샘플링 단계 수의 감소와 생성 품질의 저하 사이에는 선형적인 관계가 존재하지 않는 것으로 나타났다. 단계 수를 1000단계에서 500단계로 줄였을 때 FID 점수는 단지 5.7%만 상승했으며, 샘플링 속도는 두 배로 증가했다. 단계 수를 300단계로 낮췄을 때 FID 점수는 14.2% 상승하여 여전히 수용 가능한 범위 내이었으나, 샘플링 속도는 세 배 이상 증가했다. 그러나 단계 수를 200단계로 추가로 줄이면 FID 점수가 급격히 악화되었고 품질 저하도 현저해졌다. 따라서 300~500단계 구간이 이상적인 ‘효율성-품질’ 균형 범위로 확인되었다. 이 범위 내에서 샘플링을 수행하면 인식 가능한 생성 품질을 거의 손실시키지 않으면서도 추론 속도를 크게 향상시킬 수 있으며, 이는 신속한 생성이나 상호작용형 응용 분야에서 매우 중요한 가치를 지닌다.또한 이 결론은 다양한 해상도에서 수행된 생성 과제에서도 유사한 경향을 보였으며, 이는 그 일정한 보편성을 시사합니다.</w:t>
      </w:r>
      <w:bookmarkEnd w:id="13"/>
    </w:p>
    <w:p w14:paraId="69F0975C">
      <w:pPr>
        <w:pStyle w:val="2"/>
        <w:keepNext/>
        <w:widowControl/>
        <w:numPr>
          <w:ilvl w:val="0"/>
          <w:numId w:val="0"/>
        </w:numPr>
        <w:spacing w:before="240" w:beforeLines="100" w:beforeAutospacing="0" w:after="120" w:afterLines="100" w:afterAutospacing="0"/>
        <w:ind w:left="0" w:leftChars="0" w:firstLine="0" w:firstLineChars="0"/>
        <w:rPr>
          <w:rFonts w:hint="eastAsia" w:eastAsia="黑体"/>
          <w:lang w:eastAsia="zh-CN"/>
        </w:rPr>
      </w:pPr>
      <w:r>
        <w:rPr>
          <w:rFonts w:hint="eastAsia" w:ascii="Times New Roman" w:hAnsi="Times New Roman" w:eastAsia="黑体" w:cs="Times New Roman"/>
          <w:kern w:val="44"/>
          <w:sz w:val="32"/>
          <w:szCs w:val="32"/>
          <w:lang w:eastAsia="zh-CN" w:bidi="ar-SA"/>
        </w:rPr>
        <w:t>5. 결론</w:t>
      </w:r>
    </w:p>
    <w:p w14:paraId="3F4033BC">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본 연구는 일련의 엄격한 통제 변수 실험을 통해 고성능 확산 모델인 Improved DDPM의 핵심 구성 요소들을 체계적으로 단순화하여 실증 분석을 수행하였다. 또한 다양한 단순화 전략이 생성 품질, 학습 효율, 구현 복잡도 및 추론 속도에 미치는 구체적인 영향을 정량적으로 분석하였다.</w:t>
      </w:r>
    </w:p>
    <w:p w14:paraId="0CBE033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주요 결론은 다음과 같습니다. 첫째, 노이즈 스케줄링 측면에서는 구현이 더 간단한 제곱근 스케줄링 전략을 사용할 수 있으며, 그 성능은 널리 사용되는 코사인 스케줄링과 매우 유사합니다(FID 차이 &lt;5%)하여 후자의 효율적이고 경량화된 대안으로 적합합니다. 둘째, 훈련 설정에서는 ‘고정 분산’과 ‘간소화된 손실 함수’를 적용함으로써 FID 성능이 약 9% 저하되지만 동시에 훈련 속도가 16% 이상 향상되며, 코드의 구현 및 이해 난이도도 크게 감소합니다. 이는 개발 효율성과 실제 배포를 중시하는 대부분의 환경에서 매우 높은 가성비를 제공합니다.마지막으로, 모델 추론 단계에서는 샘플링 단계 수를 기존의 표준적인 1,000단계에서 안전하게 300~500단계로 줄일 수 있으며, 생성 품질의 감소가 통제 가능함(FID 증가율 &lt;15%)을 유지하는 조건 하에 추론 속도를 수 배까지 향상시킬 수 있다.</w:t>
      </w:r>
    </w:p>
    <w:p w14:paraId="1A0E30A2">
      <w:pPr>
        <w:pStyle w:val="11"/>
        <w:widowControl/>
        <w:spacing w:before="120" w:beforeAutospacing="0" w:after="120" w:afterAutospacing="0" w:line="360" w:lineRule="auto"/>
        <w:ind w:firstLine="560" w:firstLineChars="200"/>
        <w:rPr>
          <w:rFonts w:hint="eastAsia" w:ascii="Times New Roman" w:hAnsi="Times New Roman" w:eastAsia="SimSun" w:cs="Times New Roman"/>
          <w:kern w:val="2"/>
          <w:sz w:val="24"/>
          <w:szCs w:val="24"/>
          <w:lang w:eastAsia="zh-CN"/>
        </w:rPr>
      </w:pPr>
      <w:r>
        <w:rPr>
          <w:rFonts w:hint="eastAsia" w:ascii="Times New Roman" w:hAnsi="Times New Roman" w:eastAsia="SimSun" w:cs="Times New Roman"/>
          <w:kern w:val="0"/>
          <w:sz w:val="28"/>
          <w:szCs w:val="21"/>
          <w:lang w:eastAsia="zh-CN"/>
        </w:rPr>
        <w:t>요약하면, 본 연구는 자원이 제한적이거나 반복 처리 효율을 중시하거나 교육용 시연을 목적으로 하는 확산 모델의 적용 사례에 대해 실증 데이터로 뒷받침된 명확하고 간소화된 설정 가이드라인을 제공한다. 실무자는 구체적인 사용 상황에 따라 성능과 효율성 중 어느 쪽에 더 중점을 두어야 할지 고려하여 본 논문의 결론을 참고해 유연하게 설정 조합을 선택할 수 있다. 향후 연구에서는 보다 대규모이고 복잡한 데이터셋에서 이러한 간소화 전략의 일반화 능력을 검증하고, 이를 보다 진보된 신속 샘플링 알고리즘과 결합하여 학습부터 추론까지의 전체 과정이 효율적으로 이루어지는 확산 모델 솔루션을 개발하는 방향으로 진행될 예정이다.</w:t>
      </w:r>
    </w:p>
    <w:p w14:paraId="49B14E5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0F6A6B4">
      <w:r>
        <w:br w:type="page"/>
      </w:r>
    </w:p>
    <w:p w14:paraId="449ED8A3">
      <w:pPr>
        <w:pStyle w:val="30"/>
        <w:pageBreakBefore/>
        <w:widowControl/>
        <w:spacing w:before="240" w:beforeLines="100" w:beforeAutospacing="0" w:after="120" w:afterLines="100" w:afterAutospacing="0"/>
        <w:rPr>
          <w:rFonts w:hint="eastAsia" w:eastAsia="黑体"/>
          <w:lang w:eastAsia="zh-CN"/>
        </w:rPr>
      </w:pPr>
      <w:r>
        <w:rPr>
          <w:rFonts w:hint="eastAsia" w:ascii="Times New Roman" w:hAnsi="Times New Roman" w:eastAsia="黑体" w:cs="Times New Roman"/>
          <w:kern w:val="44"/>
          <w:sz w:val="32"/>
          <w:szCs w:val="32"/>
          <w:lang w:eastAsia="zh-CN" w:bidi="ar-SA"/>
        </w:rPr>
        <w:t>참고문헌</w:t>
      </w:r>
    </w:p>
    <w:p w14:paraId="0070DEA4">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1. Ho, J., Jain, A., &amp; Abbeel, P. (2020). Denoising diffusion probabilistic models. Advances in Neural Information Processing Systems, 33, 6840-6851.</w:t>
      </w:r>
    </w:p>
    <w:p w14:paraId="293D89E2">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2. Nichol, A. Q., &amp; Dhariwal, P. (2021). Improved denoising diffusion probabilistic models. International Conference on Machine Learning(pp. 8162-8171). PMLR.</w:t>
      </w:r>
    </w:p>
    <w:p w14:paraId="3B2BC02E">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3. Song, J., Meng, C., &amp; Ermon, S. (2021). Denoising diffusion implicit models. International Conference on Learning Representations.</w:t>
      </w:r>
    </w:p>
    <w:p w14:paraId="09B0FF9D">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4. Song, Y., &amp; Ermon, S. (2020). Improved techniques for training score-based generative models. Advances in Neural Information Processing Systems, 33, 12438-12448.</w:t>
      </w:r>
    </w:p>
    <w:p w14:paraId="229192BC">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5. Dhariwal, P., &amp; Nichol, A. (2021). Diffusion models beat GANs on image synthesis. Advances in Neural Information Processing Systems, 34, 8780-8794.</w:t>
      </w:r>
    </w:p>
    <w:p w14:paraId="72389A2A">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6. Kingma, D. P., Salimans, T., Poole, B., &amp; Ho, J. (2021). Variational diffusion models. Advances in Neural Information Processing Systems, 34, 21696-21707.</w:t>
      </w:r>
    </w:p>
    <w:p w14:paraId="62515671">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7. Rombach, R., Blattmann, A., Lorenz, D., Esser, P., &amp; Ommer, B. (2022). High-resolution image synthesis with latent diffusion models. Proceedings of the IEEE/CVF Conference on Computer Vision and Pattern Recognition(pp. 10684-10695).</w:t>
      </w:r>
    </w:p>
    <w:p w14:paraId="3CCA1159">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8. Lugmayr, A., Danelljan, M., Romero, A., Yu, F., Timofte, R., &amp; Van Gool, L. (2022). Repaint: Inpainting using denoising diffusion probabilistic models. Proceedings of the IEEE/CVF Conference on Computer Vision and Pattern Recognition(pp. 11461-11471).</w:t>
      </w:r>
    </w:p>
    <w:p w14:paraId="7A80B04C">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9. Ho, J., &amp; Salimans, T. (2022). Classifier-free diffusion guidance. arXiv preprint arXiv:2207.12598.</w:t>
      </w:r>
    </w:p>
    <w:p w14:paraId="54AE531B">
      <w:pPr>
        <w:pStyle w:val="29"/>
        <w:widowControl/>
        <w:spacing w:before="120" w:beforeAutospacing="0" w:after="120" w:afterAutospacing="0"/>
        <w:ind w:left="210" w:leftChars="0" w:firstLine="560" w:firstLineChars="200"/>
        <w:rPr>
          <w:rFonts w:hint="eastAsia" w:ascii="Times New Roman" w:hAnsi="Times New Roman" w:eastAsia="SimSun" w:cs="Times New Roman"/>
          <w:kern w:val="0"/>
          <w:sz w:val="21"/>
          <w:szCs w:val="21"/>
          <w:lang w:eastAsia="zh-CN"/>
        </w:rPr>
      </w:pPr>
      <w:r>
        <w:rPr>
          <w:rFonts w:hint="eastAsia" w:ascii="Times New Roman" w:hAnsi="Times New Roman" w:eastAsia="SimSun" w:cs="Times New Roman"/>
          <w:kern w:val="0"/>
          <w:sz w:val="28"/>
          <w:szCs w:val="21"/>
          <w:lang w:eastAsia="zh-CN"/>
        </w:rPr>
        <w:t>10. Saharia, C., Chan, W., Saxena, S., Li, L., Whang, J., Denton, E. L., ... &amp; Norouzi, M. (2022). Photorealistic text-to-image diffusion models with deep language understanding. Advances in Neural Information Processing Systems, 35, 36479-36494.</w:t>
      </w:r>
    </w:p>
    <w:p w14:paraId="4196F8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굴림">
    <w:panose1 w:val="020B0600000101010101"/>
    <w:charset w:val="81"/>
    <w:family w:val="auto"/>
    <w:pitch w:val="default"/>
    <w:sig w:usb0="B00002AF" w:usb1="69D77CFB" w:usb2="00000030" w:usb3="00000000" w:csb0="4008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A1B07"/>
    <w:multiLevelType w:val="singleLevel"/>
    <w:tmpl w:val="0E3A1B07"/>
    <w:lvl w:ilvl="0" w:tentative="0">
      <w:start w:val="1"/>
      <w:numFmt w:val="decimal"/>
      <w:suff w:val="space"/>
      <w:lvlText w:val=""/>
      <w:lvlJc w:val="left"/>
      <w:pPr>
        <w:ind w:left="0" w:firstLine="4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NotDisplayPageBoundaries w:val="1"/>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733F8"/>
    <w:rsid w:val="054C40C2"/>
    <w:rsid w:val="0F2733F8"/>
    <w:rsid w:val="1BDE3264"/>
    <w:rsid w:val="1E9F7466"/>
    <w:rsid w:val="7ABE0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unhideWhenUsed/>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SimSun"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SimSun"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SimSun"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SimSun"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SimSun"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SimSun" w:cs="Times New Roman"/>
      <w:kern w:val="2"/>
      <w:sz w:val="24"/>
      <w:szCs w:val="24"/>
      <w:lang w:bidi="ar-SA"/>
    </w:rPr>
  </w:style>
  <w:style w:type="character" w:default="1" w:styleId="20">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SimSun" w:cs="Times New Roman"/>
      <w:kern w:val="2"/>
      <w:sz w:val="24"/>
      <w:szCs w:val="24"/>
    </w:rPr>
  </w:style>
  <w:style w:type="paragraph" w:styleId="12">
    <w:name w:val="toc 3"/>
    <w:next w:val="1"/>
    <w:qFormat/>
    <w:uiPriority w:val="0"/>
    <w:pPr>
      <w:adjustRightInd w:val="0"/>
      <w:spacing w:line="400" w:lineRule="exact"/>
      <w:ind w:left="0" w:leftChars="0" w:firstLine="480" w:firstLineChars="200"/>
    </w:pPr>
    <w:rPr>
      <w:rFonts w:ascii="Times New Roman" w:hAnsi="Times New Roman" w:eastAsia="SimSun" w:cs="Times New Roman"/>
      <w:sz w:val="24"/>
      <w:szCs w:val="24"/>
    </w:rPr>
  </w:style>
  <w:style w:type="paragraph" w:styleId="13">
    <w:name w:val="toc 1"/>
    <w:next w:val="1"/>
    <w:qFormat/>
    <w:uiPriority w:val="0"/>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qFormat/>
    <w:uiPriority w:val="0"/>
    <w:pPr>
      <w:adjustRightInd w:val="0"/>
      <w:spacing w:line="400" w:lineRule="exact"/>
      <w:ind w:left="0" w:leftChars="0" w:firstLine="240" w:firstLineChars="100"/>
    </w:pPr>
    <w:rPr>
      <w:rFonts w:ascii="Times New Roman" w:hAnsi="Times New Roman" w:eastAsia="SimSun" w:cs="Times New Roman"/>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basedOn w:val="20"/>
    <w:uiPriority w:val="0"/>
    <w:rPr>
      <w:color w:val="0000FF"/>
      <w:u w:val="single"/>
    </w:rPr>
  </w:style>
  <w:style w:type="paragraph" w:customStyle="1" w:styleId="24">
    <w:name w:val="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25">
    <w:name w:val="摘要正文"/>
    <w:next w:val="1"/>
    <w:uiPriority w:val="0"/>
    <w:pPr>
      <w:widowControl w:val="0"/>
      <w:adjustRightInd w:val="0"/>
      <w:spacing w:line="400" w:lineRule="exact"/>
      <w:ind w:firstLine="480" w:firstLineChars="200"/>
      <w:jc w:val="both"/>
      <w:outlineLvl w:val="9"/>
    </w:pPr>
    <w:rPr>
      <w:rFonts w:ascii="Times New Roman" w:hAnsi="Times New Roman" w:eastAsia="SimSun" w:cs="Times New Roman"/>
      <w:kern w:val="2"/>
      <w:sz w:val="24"/>
      <w:szCs w:val="24"/>
    </w:rPr>
  </w:style>
  <w:style w:type="paragraph" w:customStyle="1" w:styleId="26">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SimSun" w:cs="Times New Roman"/>
      <w:kern w:val="2"/>
      <w:sz w:val="24"/>
      <w:szCs w:val="24"/>
      <w:lang w:bidi="ar-SA"/>
    </w:rPr>
  </w:style>
  <w:style w:type="character" w:customStyle="1" w:styleId="27">
    <w:name w:val="关键词"/>
    <w:qFormat/>
    <w:uiPriority w:val="0"/>
    <w:rPr>
      <w:rFonts w:ascii="Times New Roman" w:hAnsi="Times New Roman" w:eastAsia="黑体" w:cs="Times New Roman"/>
      <w:kern w:val="2"/>
      <w:sz w:val="24"/>
      <w:szCs w:val="24"/>
      <w:lang w:bidi="ar-SA"/>
    </w:rPr>
  </w:style>
  <w:style w:type="paragraph" w:customStyle="1" w:styleId="28">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9">
    <w:name w:val="参考文献条目"/>
    <w:next w:val="1"/>
    <w:qFormat/>
    <w:uiPriority w:val="0"/>
    <w:pPr>
      <w:widowControl w:val="0"/>
      <w:adjustRightInd w:val="0"/>
      <w:spacing w:line="400" w:lineRule="exact"/>
      <w:ind w:left="480" w:hanging="480" w:hangingChars="200"/>
      <w:jc w:val="both"/>
      <w:outlineLvl w:val="9"/>
    </w:pPr>
    <w:rPr>
      <w:rFonts w:ascii="Times New Roman" w:hAnsi="Times New Roman" w:eastAsia="SimSun" w:cs="Times New Roman"/>
      <w:kern w:val="0"/>
      <w:sz w:val="21"/>
      <w:szCs w:val="21"/>
    </w:rPr>
  </w:style>
  <w:style w:type="paragraph" w:customStyle="1" w:styleId="30">
    <w:name w:val="参考文献标题"/>
    <w:next w:val="1"/>
    <w:qFormat/>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31">
    <w:name w:val="表格标题"/>
    <w:next w:val="1"/>
    <w:qFormat/>
    <w:uiPriority w:val="0"/>
    <w:pPr>
      <w:widowControl w:val="0"/>
      <w:adjustRightInd w:val="0"/>
      <w:spacing w:beforeLines="50" w:afterLines="50" w:line="240" w:lineRule="auto"/>
      <w:jc w:val="center"/>
      <w:outlineLvl w:val="9"/>
    </w:pPr>
    <w:rPr>
      <w:rFonts w:ascii="Times New Roman" w:hAnsi="Times New Roman" w:eastAsia="SimSun" w:cs="Times New Roman"/>
      <w:kern w:val="2"/>
      <w:sz w:val="21"/>
      <w:szCs w:val="21"/>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2463</Words>
  <Characters>2804</Characters>
  <Lines>0</Lines>
  <Paragraphs>0</Paragraphs>
  <TotalTime>0</TotalTime>
  <ScaleCrop>false</ScaleCrop>
  <LinksUpToDate>false</LinksUpToDate>
  <CharactersWithSpaces>2877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2026-05-22T02:20:00Z</dcterms:created>
  <dc:creator>酒空人散</dc:creator>
  <cp:lastModifiedBy>酒空人散</cp:lastModifiedBy>
  <dcterms:modified xsi:type="dcterms:W3CDTF">2026-06-04T01:32:52Z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A08E011E31264FEC82944CF36E820870_13</vt:lpwstr>
  </property>
  <property fmtid="{D5CDD505-2E9C-101B-9397-08002B2CF9AE}" pid="4" name="KSOTemplateDocerSaveRecord">
    <vt:lpwstr>eyJoZGlkIjoiNTI0M2I3NDUxNTUwNjQ4YTcwMWZhOGQwNjhlYWU5YmUiLCJ1c2VySWQiOiI1NTgzODkxMjUifQ==</vt:lpwstr>
  </property>
</Properties>
</file>