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FD125">
      <w:pPr>
        <w:pStyle w:val="18"/>
        <w:widowControl/>
        <w:outlineLvl w:val="9"/>
        <w:rPr>
          <w:rFonts w:hint="eastAsia" w:eastAsia="黑体"/>
          <w:lang w:eastAsia="zh-CN"/>
        </w:rPr>
      </w:pPr>
      <w:bookmarkStart w:id="14" w:name="_GoBack"/>
      <w:bookmarkEnd w:id="14"/>
      <w:r>
        <w:rPr>
          <w:rFonts w:hint="eastAsia" w:ascii="Times New Roman" w:hAnsi="Times New Roman" w:eastAsia="黑体" w:cs="Times New Roman"/>
          <w:kern w:val="2"/>
          <w:sz w:val="36"/>
          <w:szCs w:val="36"/>
          <w:lang w:eastAsia="zh-CN" w:bidi="ar-SA"/>
        </w:rPr>
        <w:t>Empirical Study on the Simplification of Key Components in Diffusion Models for Efficient Deployment</w:t>
      </w:r>
    </w:p>
    <w:p w14:paraId="6D5A9788">
      <w:pPr>
        <w:pStyle w:val="24"/>
        <w:keepNext/>
        <w:widowControl/>
        <w:outlineLvl w:val="9"/>
        <w:rPr>
          <w:rFonts w:hint="eastAsia" w:eastAsia="黑体"/>
          <w:lang w:eastAsia="zh-CN"/>
        </w:rPr>
      </w:pPr>
      <w:r>
        <w:rPr>
          <w:rFonts w:hint="eastAsia" w:ascii="Times New Roman" w:hAnsi="Times New Roman" w:eastAsia="黑体" w:cs="Times New Roman"/>
          <w:kern w:val="44"/>
          <w:sz w:val="32"/>
          <w:szCs w:val="32"/>
          <w:lang w:eastAsia="zh-CN" w:bidi="ar-SA"/>
        </w:rPr>
        <w:t>Abstract</w:t>
      </w:r>
    </w:p>
    <w:p w14:paraId="375756FE">
      <w:pPr>
        <w:pStyle w:val="25"/>
        <w:rPr>
          <w:rFonts w:hint="eastAsia" w:eastAsia="SimSun"/>
          <w:lang w:eastAsia="zh-CN"/>
        </w:rPr>
      </w:pPr>
      <w:r>
        <w:rPr>
          <w:rFonts w:hint="eastAsia" w:ascii="Times New Roman" w:hAnsi="Times New Roman" w:eastAsia="SimSun" w:cs="Times New Roman"/>
          <w:kern w:val="2"/>
          <w:sz w:val="28"/>
          <w:szCs w:val="24"/>
          <w:lang w:eastAsia="zh-CN"/>
        </w:rPr>
        <w:t>The diffusion probability model stands as one of the core technologies in generative artificial intelligence, with its exceptional generation capabilities widely validated across multiple domains including image, audio, and cross-modal generation. However, high-performance diffusion models like the Improved DDPM typically incorporate complex architectures such as cosine noise scheduling, learnable inverse process variance, and hybrid loss functions. While these enhancements significantly improve generation quality and theoretical completeness, they inevitably increase implementation complexity, training costs, and technical barriers. Addressing practical engineering deployment needs and educational requirements, this study systematically investigates how simplifying these key components impacts model performance and overall efficiency. Through rigorous controlled experiments, we conducted comprehensive empirical evaluations on standard datasets CIFAR-10 and MNIST. Results demonstrate that during training, configurations employing "fixed inverse variance" and a simplified loss function (using only noise prediction loss) achieve approximately 9% performance trade-offs in Frechet Inception Distance (FID) metrics while reducing training time by over 16% and substantially streamlining code implementation and debugging processes. Regarding noise scheduling, a simpler square-root strategy demonstrates performance comparable to the widely adopted cosine scheduling approach (with FID differences below 5%), serving as an effective lightweight alternative. Furthermore, during the model inference phase, significantly reducing the sampling steps from the standard 1000 to 300–500 enables several-fold acceleration while maintaining strictly controllable quality degradation (FID increase below 15%), which is critical for real-time applications. This work provides a well-evaluated, simplified configuration reference that explicitly quantifies performance-utility trade-offs for deploying and applying diffusion models in scenarios with limited computing resources, high development efficiency requirements, or educational demonstration needs.</w:t>
      </w:r>
    </w:p>
    <w:p w14:paraId="0B83344B">
      <w:pPr>
        <w:pStyle w:val="26"/>
        <w:widowControl/>
        <w:ind w:firstLine="0" w:firstLineChars="0"/>
        <w:rPr>
          <w:rFonts w:hint="eastAsia" w:ascii="Times New Roman" w:hAnsi="Times New Roman" w:eastAsia="SimSun" w:cs="Times New Roman"/>
          <w:b w:val="0"/>
          <w:sz w:val="24"/>
          <w:szCs w:val="24"/>
          <w:lang w:eastAsia="zh-CN"/>
        </w:rPr>
      </w:pPr>
      <w:r>
        <w:rPr>
          <w:rFonts w:hint="eastAsia" w:ascii="Times New Roman" w:hAnsi="Times New Roman" w:eastAsia="SimSun" w:cs="Times New Roman"/>
          <w:kern w:val="2"/>
          <w:sz w:val="28"/>
          <w:szCs w:val="24"/>
          <w:lang w:eastAsia="zh-CN" w:bidi="ar-SA"/>
        </w:rPr>
        <w:t>Keywords: diffusion model; model simplification; noise scheduling; training efficiency; lightweight generation</w:t>
      </w:r>
    </w:p>
    <w:p w14:paraId="5682E8C5">
      <w:pPr>
        <w:rPr>
          <w:rFonts w:hint="eastAsia" w:eastAsiaTheme="minorEastAsia"/>
          <w:lang w:eastAsia="zh-CN"/>
        </w:rPr>
      </w:pPr>
      <w:r>
        <w:pict>
          <v:rect id="_x0000_i1028" o:spt="1" style="height:1.5pt;width:432pt;" fillcolor="#A0A0A0" filled="t" stroked="f" coordsize="21600,21600" o:hr="t" o:hrstd="t" o:hralign="center">
            <v:path/>
            <v:fill on="t" focussize="0,0"/>
            <v:stroke on="f"/>
            <v:imagedata o:title=""/>
            <o:lock v:ext="edit"/>
            <w10:wrap type="none"/>
            <w10:anchorlock/>
          </v:rect>
        </w:pict>
      </w:r>
      <w:r>
        <w:rPr>
          <w:rFonts w:hint="eastAsia" w:ascii="Times New Roman" w:hAnsiTheme="minorHAnsi" w:eastAsiaTheme="minorEastAsia" w:cstheme="minorBidi"/>
          <w:kern w:val="2"/>
          <w:sz w:val="21"/>
          <w:szCs w:val="24"/>
          <w:lang w:val="en-US" w:eastAsia="zh-CN" w:bidi="ar-SA"/>
        </w:rPr>
        <w:br w:type="page"/>
      </w:r>
      <w:r>
        <w:rPr>
          <w:rFonts w:hint="eastAsia" w:ascii="Times New Roman" w:hAnsi="Times New Roman" w:eastAsia="黑体" w:cs="Times New Roman"/>
          <w:kern w:val="2"/>
          <w:sz w:val="32"/>
          <w:szCs w:val="32"/>
          <w:lang w:val="en-US" w:eastAsia="zh-CN" w:bidi="ar-SA"/>
        </w:rPr>
        <w:t>catalogue</w:t>
      </w:r>
    </w:p>
    <w:p w14:paraId="3802C105">
      <w:pPr>
        <w:pStyle w:val="13"/>
        <w:tabs>
          <w:tab w:val="right" w:leader="dot" w:pos="8306"/>
        </w:tabs>
        <w:rPr>
          <w:rFonts w:hint="eastAsia" w:eastAsia="黑体"/>
          <w:lang w:eastAsia="zh-CN"/>
        </w:rPr>
      </w:pPr>
      <w:r>
        <w:fldChar w:fldCharType="begin"/>
      </w:r>
      <w:r>
        <w:instrText xml:space="preserve">TOC \o "1-3" \h \u </w:instrText>
      </w:r>
      <w:r>
        <w:fldChar w:fldCharType="separate"/>
      </w:r>
      <w:r>
        <w:rPr>
          <w:rFonts w:hint="eastAsia" w:ascii="Times New Roman" w:hAnsi="Times New Roman" w:eastAsia="黑体" w:cs="Times New Roman"/>
          <w:sz w:val="24"/>
          <w:szCs w:val="24"/>
          <w:lang w:eastAsia="zh-CN"/>
        </w:rPr>
        <w:t>1. Introduction 3</w:t>
      </w:r>
      <w:r>
        <w:rPr>
          <w:rFonts w:hint="eastAsia" w:ascii="Times New Roman" w:hAnsi="Times New Roman" w:eastAsia="黑体" w:cs="Times New Roman"/>
          <w:sz w:val="24"/>
          <w:szCs w:val="24"/>
          <w:lang w:eastAsia="zh-CN"/>
        </w:rPr>
        <w:tab/>
        <w:t>3</w:t>
      </w:r>
    </w:p>
    <w:p w14:paraId="45FD4DFF">
      <w:pPr>
        <w:pStyle w:val="13"/>
        <w:tabs>
          <w:tab w:val="right" w:leader="dot" w:pos="8306"/>
        </w:tabs>
        <w:rPr>
          <w:rFonts w:hint="eastAsia" w:eastAsia="黑体"/>
          <w:lang w:eastAsia="zh-CN"/>
        </w:rPr>
      </w:pPr>
      <w:r>
        <w:rPr>
          <w:rFonts w:hint="eastAsia" w:ascii="Times New Roman"/>
          <w:lang w:eastAsia="zh-CN"/>
        </w:rPr>
        <w:fldChar w:fldCharType="begin"/>
      </w:r>
      <w:r>
        <w:rPr>
          <w:rFonts w:hint="eastAsia" w:ascii="Times New Roman"/>
          <w:lang w:eastAsia="zh-CN"/>
        </w:rPr>
        <w:instrText xml:space="preserve"> HYPERLINK \l "_Toc28838" </w:instrText>
      </w:r>
      <w:r>
        <w:rPr>
          <w:rFonts w:hint="eastAsia" w:ascii="Times New Roman"/>
          <w:lang w:eastAsia="zh-CN"/>
        </w:rPr>
        <w:fldChar w:fldCharType="separate"/>
      </w:r>
      <w:r>
        <w:rPr>
          <w:rStyle w:val="23"/>
          <w:rFonts w:hint="eastAsia" w:ascii="Times New Roman"/>
          <w:lang w:eastAsia="zh-CN"/>
        </w:rPr>
        <w:t>2. Relevant Studies 3</w:t>
      </w:r>
      <w:r>
        <w:rPr>
          <w:rStyle w:val="23"/>
          <w:rFonts w:hint="eastAsia" w:ascii="Times New Roman"/>
          <w:lang w:eastAsia="zh-CN"/>
        </w:rPr>
        <w:tab/>
        <w:t>4</w:t>
      </w:r>
      <w:r>
        <w:rPr>
          <w:rFonts w:hint="eastAsia" w:ascii="Times New Roman"/>
          <w:lang w:eastAsia="zh-CN"/>
        </w:rPr>
        <w:fldChar w:fldCharType="end"/>
      </w:r>
    </w:p>
    <w:p w14:paraId="722F362F">
      <w:pPr>
        <w:pStyle w:val="15"/>
        <w:tabs>
          <w:tab w:val="right" w:leader="dot" w:pos="8306"/>
        </w:tabs>
        <w:rPr>
          <w:rFonts w:hint="eastAsia" w:eastAsia="SimSun"/>
          <w:lang w:eastAsia="zh-CN"/>
        </w:rPr>
      </w:pPr>
      <w:r>
        <w:rPr>
          <w:rFonts w:hint="eastAsia" w:ascii="Times New Roman"/>
          <w:lang w:eastAsia="zh-CN"/>
        </w:rPr>
        <w:fldChar w:fldCharType="begin"/>
      </w:r>
      <w:r>
        <w:rPr>
          <w:rFonts w:hint="eastAsia" w:ascii="Times New Roman"/>
          <w:lang w:eastAsia="zh-CN"/>
        </w:rPr>
        <w:instrText xml:space="preserve"> HYPERLINK \l "_Toc16513" </w:instrText>
      </w:r>
      <w:r>
        <w:rPr>
          <w:rFonts w:hint="eastAsia" w:ascii="Times New Roman"/>
          <w:lang w:eastAsia="zh-CN"/>
        </w:rPr>
        <w:fldChar w:fldCharType="separate"/>
      </w:r>
      <w:r>
        <w:rPr>
          <w:rStyle w:val="23"/>
          <w:rFonts w:hint="eastAsia" w:ascii="Times New Roman"/>
          <w:lang w:eastAsia="zh-CN"/>
        </w:rPr>
        <w:t>2.1 Theoretical Basis of the Diffusion Model 3</w:t>
      </w:r>
      <w:r>
        <w:rPr>
          <w:rStyle w:val="23"/>
          <w:rFonts w:hint="eastAsia" w:ascii="Times New Roman"/>
          <w:lang w:eastAsia="zh-CN"/>
        </w:rPr>
        <w:tab/>
        <w:t>4</w:t>
      </w:r>
      <w:r>
        <w:rPr>
          <w:rFonts w:hint="eastAsia" w:ascii="Times New Roman"/>
          <w:lang w:eastAsia="zh-CN"/>
        </w:rPr>
        <w:fldChar w:fldCharType="end"/>
      </w:r>
    </w:p>
    <w:p w14:paraId="4772AEB6">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2.2 Research on Acceleration and Simplification of Diffusion Models 4</w:t>
      </w:r>
      <w:r>
        <w:rPr>
          <w:rFonts w:hint="eastAsia" w:ascii="Times New Roman" w:hAnsi="Times New Roman" w:eastAsia="SimSun" w:cs="Times New Roman"/>
          <w:sz w:val="24"/>
          <w:szCs w:val="24"/>
          <w:lang w:eastAsia="zh-CN"/>
        </w:rPr>
        <w:tab/>
        <w:t>4</w:t>
      </w:r>
    </w:p>
    <w:p w14:paraId="5657ACAE">
      <w:pPr>
        <w:pStyle w:val="13"/>
        <w:tabs>
          <w:tab w:val="right" w:leader="dot" w:pos="8306"/>
        </w:tabs>
        <w:rPr>
          <w:rFonts w:hint="eastAsia" w:eastAsia="黑体"/>
          <w:lang w:eastAsia="zh-CN"/>
        </w:rPr>
      </w:pPr>
      <w:r>
        <w:rPr>
          <w:rFonts w:hint="eastAsia" w:ascii="Times New Roman" w:hAnsi="Times New Roman" w:eastAsia="黑体" w:cs="Times New Roman"/>
          <w:sz w:val="24"/>
          <w:szCs w:val="24"/>
          <w:lang w:eastAsia="zh-CN"/>
        </w:rPr>
        <w:t>3. Core Components and Simplification Methods 4</w:t>
      </w:r>
      <w:r>
        <w:rPr>
          <w:rFonts w:hint="eastAsia" w:ascii="Times New Roman" w:hAnsi="Times New Roman" w:eastAsia="黑体" w:cs="Times New Roman"/>
          <w:sz w:val="24"/>
          <w:szCs w:val="24"/>
          <w:lang w:eastAsia="zh-CN"/>
        </w:rPr>
        <w:tab/>
        <w:t>4</w:t>
      </w:r>
    </w:p>
    <w:p w14:paraId="412120EB">
      <w:pPr>
        <w:pStyle w:val="15"/>
        <w:tabs>
          <w:tab w:val="right" w:leader="dot" w:pos="8306"/>
        </w:tabs>
        <w:rPr>
          <w:rFonts w:hint="eastAsia" w:eastAsia="SimSun"/>
          <w:lang w:eastAsia="zh-CN"/>
        </w:rPr>
      </w:pPr>
      <w:r>
        <w:rPr>
          <w:rFonts w:hint="eastAsia" w:ascii="Times New Roman"/>
          <w:lang w:eastAsia="zh-CN"/>
        </w:rPr>
        <w:fldChar w:fldCharType="begin"/>
      </w:r>
      <w:r>
        <w:rPr>
          <w:rFonts w:hint="eastAsia" w:ascii="Times New Roman"/>
          <w:lang w:eastAsia="zh-CN"/>
        </w:rPr>
        <w:instrText xml:space="preserve"> HYPERLINK \l "_Toc28350" </w:instrText>
      </w:r>
      <w:r>
        <w:rPr>
          <w:rFonts w:hint="eastAsia" w:ascii="Times New Roman"/>
          <w:lang w:eastAsia="zh-CN"/>
        </w:rPr>
        <w:fldChar w:fldCharType="separate"/>
      </w:r>
      <w:r>
        <w:rPr>
          <w:rStyle w:val="23"/>
          <w:rFonts w:hint="eastAsia" w:ascii="Times New Roman"/>
          <w:lang w:eastAsia="zh-CN"/>
        </w:rPr>
        <w:t>3.1 Review of the Mathematical Framework of the Diffusion Model 4</w:t>
      </w:r>
      <w:r>
        <w:rPr>
          <w:rStyle w:val="23"/>
          <w:rFonts w:hint="eastAsia" w:ascii="Times New Roman"/>
          <w:lang w:eastAsia="zh-CN"/>
        </w:rPr>
        <w:tab/>
        <w:t>6</w:t>
      </w:r>
      <w:r>
        <w:rPr>
          <w:rFonts w:hint="eastAsia" w:ascii="Times New Roman"/>
          <w:lang w:eastAsia="zh-CN"/>
        </w:rPr>
        <w:fldChar w:fldCharType="end"/>
      </w:r>
    </w:p>
    <w:p w14:paraId="05BF0E83">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3.2 Design of Noise Management Strategies 5</w:t>
      </w:r>
      <w:r>
        <w:rPr>
          <w:rFonts w:hint="eastAsia" w:ascii="Times New Roman" w:hAnsi="Times New Roman" w:eastAsia="SimSun" w:cs="Times New Roman"/>
          <w:sz w:val="24"/>
          <w:szCs w:val="24"/>
          <w:lang w:eastAsia="zh-CN"/>
        </w:rPr>
        <w:tab/>
        <w:t>5</w:t>
      </w:r>
    </w:p>
    <w:p w14:paraId="717C9CFE">
      <w:pPr>
        <w:pStyle w:val="15"/>
        <w:tabs>
          <w:tab w:val="right" w:leader="dot" w:pos="8306"/>
        </w:tabs>
        <w:rPr>
          <w:rFonts w:hint="eastAsia" w:eastAsia="SimSun"/>
          <w:lang w:eastAsia="zh-CN"/>
        </w:rPr>
      </w:pPr>
      <w:r>
        <w:rPr>
          <w:rFonts w:hint="eastAsia" w:ascii="Times New Roman"/>
          <w:lang w:eastAsia="zh-CN"/>
        </w:rPr>
        <w:fldChar w:fldCharType="begin"/>
      </w:r>
      <w:r>
        <w:rPr>
          <w:rFonts w:hint="eastAsia" w:ascii="Times New Roman"/>
          <w:lang w:eastAsia="zh-CN"/>
        </w:rPr>
        <w:instrText xml:space="preserve"> HYPERLINK \l "_Toc10254" </w:instrText>
      </w:r>
      <w:r>
        <w:rPr>
          <w:rFonts w:hint="eastAsia" w:ascii="Times New Roman"/>
          <w:lang w:eastAsia="zh-CN"/>
        </w:rPr>
        <w:fldChar w:fldCharType="separate"/>
      </w:r>
      <w:r>
        <w:rPr>
          <w:rStyle w:val="23"/>
          <w:rFonts w:hint="eastAsia" w:ascii="Times New Roman"/>
          <w:lang w:eastAsia="zh-CN"/>
        </w:rPr>
        <w:t>3.3 Simplification Scheme for Training Configuration 5</w:t>
      </w:r>
      <w:r>
        <w:rPr>
          <w:rStyle w:val="23"/>
          <w:rFonts w:hint="eastAsia" w:ascii="Times New Roman"/>
          <w:lang w:eastAsia="zh-CN"/>
        </w:rPr>
        <w:tab/>
        <w:t>8</w:t>
      </w:r>
      <w:r>
        <w:rPr>
          <w:rFonts w:hint="eastAsia" w:ascii="Times New Roman"/>
          <w:lang w:eastAsia="zh-CN"/>
        </w:rPr>
        <w:fldChar w:fldCharType="end"/>
      </w:r>
    </w:p>
    <w:p w14:paraId="0D442F03">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3.4 Experimental Design 6</w:t>
      </w:r>
      <w:r>
        <w:rPr>
          <w:rFonts w:hint="eastAsia" w:ascii="Times New Roman" w:hAnsi="Times New Roman" w:eastAsia="SimSun" w:cs="Times New Roman"/>
          <w:sz w:val="24"/>
          <w:szCs w:val="24"/>
          <w:lang w:eastAsia="zh-CN"/>
        </w:rPr>
        <w:tab/>
        <w:t>6</w:t>
      </w:r>
    </w:p>
    <w:p w14:paraId="0C1CE910">
      <w:pPr>
        <w:pStyle w:val="13"/>
        <w:tabs>
          <w:tab w:val="right" w:leader="dot" w:pos="8306"/>
        </w:tabs>
        <w:rPr>
          <w:rFonts w:hint="eastAsia" w:eastAsia="黑体"/>
          <w:lang w:eastAsia="zh-CN"/>
        </w:rPr>
      </w:pPr>
      <w:r>
        <w:rPr>
          <w:rFonts w:hint="eastAsia" w:ascii="Times New Roman" w:hAnsi="Times New Roman" w:eastAsia="黑体" w:cs="Times New Roman"/>
          <w:sz w:val="24"/>
          <w:szCs w:val="24"/>
          <w:lang w:eastAsia="zh-CN"/>
        </w:rPr>
        <w:t>4. Experimentation and Analysis 6</w:t>
      </w:r>
      <w:r>
        <w:rPr>
          <w:rFonts w:hint="eastAsia" w:ascii="Times New Roman" w:hAnsi="Times New Roman" w:eastAsia="黑体" w:cs="Times New Roman"/>
          <w:sz w:val="24"/>
          <w:szCs w:val="24"/>
          <w:lang w:eastAsia="zh-CN"/>
        </w:rPr>
        <w:tab/>
        <w:t>6</w:t>
      </w:r>
    </w:p>
    <w:p w14:paraId="1989CFB5">
      <w:pPr>
        <w:pStyle w:val="15"/>
        <w:tabs>
          <w:tab w:val="right" w:leader="dot" w:pos="8306"/>
        </w:tabs>
        <w:rPr>
          <w:rFonts w:hint="eastAsia" w:eastAsia="SimSun"/>
          <w:lang w:eastAsia="zh-CN"/>
        </w:rPr>
      </w:pPr>
      <w:r>
        <w:rPr>
          <w:rFonts w:hint="eastAsia" w:ascii="Times New Roman"/>
          <w:lang w:eastAsia="zh-CN"/>
        </w:rPr>
        <w:fldChar w:fldCharType="begin"/>
      </w:r>
      <w:r>
        <w:rPr>
          <w:rFonts w:hint="eastAsia" w:ascii="Times New Roman"/>
          <w:lang w:eastAsia="zh-CN"/>
        </w:rPr>
        <w:instrText xml:space="preserve"> HYPERLINK \l "_Toc25739" </w:instrText>
      </w:r>
      <w:r>
        <w:rPr>
          <w:rFonts w:hint="eastAsia" w:ascii="Times New Roman"/>
          <w:lang w:eastAsia="zh-CN"/>
        </w:rPr>
        <w:fldChar w:fldCharType="separate"/>
      </w:r>
      <w:r>
        <w:rPr>
          <w:rStyle w:val="23"/>
          <w:rFonts w:hint="eastAsia" w:ascii="Times New Roman"/>
          <w:lang w:eastAsia="zh-CN"/>
        </w:rPr>
        <w:t>4.1 Comparison Experiment of Noise Scheduling Strategies 6</w:t>
      </w:r>
      <w:r>
        <w:rPr>
          <w:rStyle w:val="23"/>
          <w:rFonts w:hint="eastAsia" w:ascii="Times New Roman"/>
          <w:lang w:eastAsia="zh-CN"/>
        </w:rPr>
        <w:tab/>
        <w:t>11</w:t>
      </w:r>
      <w:r>
        <w:rPr>
          <w:rFonts w:hint="eastAsia" w:ascii="Times New Roman"/>
          <w:lang w:eastAsia="zh-CN"/>
        </w:rPr>
        <w:fldChar w:fldCharType="end"/>
      </w:r>
    </w:p>
    <w:p w14:paraId="4ABD8A6F">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4.2 Simplified Training Configuration Verification Experiment 7</w:t>
      </w:r>
      <w:r>
        <w:rPr>
          <w:rFonts w:hint="eastAsia" w:ascii="Times New Roman" w:hAnsi="Times New Roman" w:eastAsia="SimSun" w:cs="Times New Roman"/>
          <w:sz w:val="24"/>
          <w:szCs w:val="24"/>
          <w:lang w:eastAsia="zh-CN"/>
        </w:rPr>
        <w:tab/>
        <w:t>7</w:t>
      </w:r>
    </w:p>
    <w:p w14:paraId="09A1E995">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4.3 Trade-off Analysis Between Sampling Efficiency and Generation Quality 7</w:t>
      </w:r>
      <w:r>
        <w:rPr>
          <w:rFonts w:hint="eastAsia" w:ascii="Times New Roman" w:hAnsi="Times New Roman" w:eastAsia="SimSun" w:cs="Times New Roman"/>
          <w:sz w:val="24"/>
          <w:szCs w:val="24"/>
          <w:lang w:eastAsia="zh-CN"/>
        </w:rPr>
        <w:tab/>
        <w:t>7</w:t>
      </w:r>
    </w:p>
    <w:p w14:paraId="64630683">
      <w:pPr>
        <w:pStyle w:val="13"/>
        <w:tabs>
          <w:tab w:val="right" w:leader="dot" w:pos="8306"/>
        </w:tabs>
        <w:rPr>
          <w:rFonts w:hint="eastAsia" w:eastAsia="黑体"/>
          <w:lang w:eastAsia="zh-CN"/>
        </w:rPr>
      </w:pPr>
      <w:r>
        <w:rPr>
          <w:rFonts w:hint="eastAsia" w:ascii="Times New Roman" w:hAnsi="Times New Roman" w:eastAsia="黑体" w:cs="Times New Roman"/>
          <w:sz w:val="24"/>
          <w:szCs w:val="24"/>
          <w:lang w:eastAsia="zh-CN"/>
        </w:rPr>
        <w:t>5. Conclusion 8</w:t>
      </w:r>
      <w:r>
        <w:rPr>
          <w:rFonts w:hint="eastAsia" w:ascii="Times New Roman" w:hAnsi="Times New Roman" w:eastAsia="黑体" w:cs="Times New Roman"/>
          <w:sz w:val="24"/>
          <w:szCs w:val="24"/>
          <w:lang w:eastAsia="zh-CN"/>
        </w:rPr>
        <w:tab/>
        <w:t>8</w:t>
      </w:r>
    </w:p>
    <w:p w14:paraId="3EAE9DF7">
      <w:pPr>
        <w:pStyle w:val="13"/>
        <w:tabs>
          <w:tab w:val="right" w:leader="dot" w:pos="8306"/>
        </w:tabs>
        <w:rPr>
          <w:rFonts w:hint="eastAsia" w:eastAsia="黑体"/>
          <w:lang w:eastAsia="zh-CN"/>
        </w:rPr>
      </w:pPr>
      <w:r>
        <w:rPr>
          <w:rFonts w:hint="eastAsia" w:ascii="Times New Roman" w:hAnsi="Times New Roman" w:eastAsia="黑体" w:cs="Times New Roman"/>
          <w:sz w:val="24"/>
          <w:szCs w:val="24"/>
          <w:lang w:eastAsia="zh-CN"/>
        </w:rPr>
        <w:t>References 9</w:t>
      </w:r>
      <w:r>
        <w:rPr>
          <w:rFonts w:hint="eastAsia" w:ascii="Times New Roman" w:hAnsi="Times New Roman" w:eastAsia="黑体" w:cs="Times New Roman"/>
          <w:sz w:val="24"/>
          <w:szCs w:val="24"/>
          <w:lang w:eastAsia="zh-CN"/>
        </w:rPr>
        <w:tab/>
        <w:t>9</w:t>
      </w:r>
    </w:p>
    <w:p w14:paraId="1BA26358">
      <w:pPr>
        <w:rPr>
          <w:rFonts w:hint="eastAsia" w:eastAsia="黑体"/>
          <w:lang w:eastAsia="zh-CN"/>
        </w:rPr>
      </w:pPr>
      <w:r>
        <w:fldChar w:fldCharType="end"/>
      </w:r>
      <w:r>
        <w:rPr>
          <w:rFonts w:hint="eastAsia" w:ascii="Times New Roman" w:hAnsiTheme="minorHAnsi" w:eastAsiaTheme="minorEastAsia" w:cstheme="minorBidi"/>
          <w:kern w:val="2"/>
          <w:sz w:val="21"/>
          <w:szCs w:val="24"/>
          <w:lang w:val="en-US" w:eastAsia="zh-CN" w:bidi="ar-SA"/>
        </w:rPr>
        <w:br w:type="page"/>
      </w:r>
      <w:r>
        <w:rPr>
          <w:rFonts w:hint="eastAsia" w:ascii="Times New Roman" w:hAnsi="Times New Roman" w:eastAsia="黑体" w:cs="Times New Roman"/>
          <w:kern w:val="44"/>
          <w:sz w:val="32"/>
          <w:szCs w:val="32"/>
          <w:lang w:val="en-US" w:eastAsia="zh-CN" w:bidi="ar-SA"/>
        </w:rPr>
        <w:t>1. Introduction</w:t>
      </w:r>
    </w:p>
    <w:p w14:paraId="6342E194">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Diffusion models have become a cornerstone in the field of artificial intelligence-generated content (AIGC) due to their powerful data generation capabilities. Since the introduction of Denoising Diffusion Probabilistic Models (DDPM), researchers have continuously pushed its performance boundaries through a series of improvements. Notably, Improved DDPM significantly enhances both generation quality and theoretical completeness by introducing cosine noise scheduling, learnable inverse process variance, and a hybrid objective function combining simplified loss and variational lower bound loss, establishing a crucial benchmark for subsequent research.</w:t>
      </w:r>
    </w:p>
    <w:p w14:paraId="5AD7A80F">
      <w:pPr>
        <w:pStyle w:val="11"/>
        <w:widowControl/>
        <w:spacing w:before="120" w:beforeAutospacing="0" w:after="120" w:afterAutospacing="0" w:line="360" w:lineRule="auto"/>
        <w:ind w:firstLine="560" w:firstLineChars="200"/>
        <w:rPr>
          <w:rFonts w:hint="eastAsia" w:eastAsia="SimSun"/>
          <w:lang w:eastAsia="zh-CN"/>
        </w:rPr>
      </w:pPr>
      <w:bookmarkStart w:id="0" w:name="_Toc28838"/>
      <w:r>
        <w:rPr>
          <w:rFonts w:hint="eastAsia" w:ascii="Times New Roman" w:hAnsi="Times New Roman" w:eastAsia="SimSun" w:cs="Times New Roman"/>
          <w:kern w:val="0"/>
          <w:sz w:val="28"/>
          <w:szCs w:val="21"/>
          <w:lang w:eastAsia="zh-CN"/>
        </w:rPr>
        <w:t>However, performance improvements often come with a significant increase in system complexity. The multiple enhancement strategies integrated into the improved DDPM not only improve quantitative metrics but also make the model's code implementation, hyperparameter tuning, theoretical understanding, and instructional documentation considerably more complex. This complexity poses substantial challenges for rapid prototyping, widespread adoption, and practical deployment in resource-constrained environments such as edge computing devices or educational laboratories. While numerous cutting-edge studies focus on enhancing performance or efficiency through novel network architectures, sampling algorithms, or training techniques, few systematically address a fundamental question: Within established high-performance model frameworks, which complex design elements are essential core components, and which can be appropriately simplified under specific constraints to achieve a balance between performance, efficiency, usability, and comprehensibility?</w:t>
      </w:r>
      <w:bookmarkEnd w:id="0"/>
    </w:p>
    <w:p w14:paraId="6D285584">
      <w:pPr>
        <w:pStyle w:val="11"/>
        <w:widowControl/>
        <w:spacing w:before="120" w:beforeAutospacing="0" w:after="120" w:afterAutospacing="0" w:line="360" w:lineRule="auto"/>
        <w:ind w:firstLine="560" w:firstLineChars="200"/>
        <w:rPr>
          <w:rFonts w:hint="eastAsia" w:eastAsia="SimSun"/>
          <w:lang w:eastAsia="zh-CN"/>
        </w:rPr>
      </w:pPr>
      <w:bookmarkStart w:id="1" w:name="_Toc16513"/>
      <w:r>
        <w:rPr>
          <w:rFonts w:hint="eastAsia" w:ascii="Times New Roman" w:hAnsi="Times New Roman" w:eastAsia="SimSun" w:cs="Times New Roman"/>
          <w:kern w:val="0"/>
          <w:sz w:val="28"/>
          <w:szCs w:val="21"/>
          <w:lang w:eastAsia="zh-CN"/>
        </w:rPr>
        <w:t>To address the aforementioned issues, this study uses the improved DDPM—this classic high-performance model—as a benchmark and aims to empirically evaluate the specific impacts of simplifying two key configurable components—the noise scheduling strategy and training objective configuration—through a series of carefully designed control variable experiments. Our goal is not to pursue a breakthrough in generation quality but rather to quantitatively analyze the trade-offs introduced by different simplification strategies and their concrete benefits in terms of training efficiency, code complexity, and inference speed. By providing quantitative data and clear comparisons, we seek to offer researchers, engineers, and educators focused on model comprehensibility, deployability, and development efficiency an objective decision-making reference that identifies appropriate simplification strategies for specific application scenarios along with their corresponding costs and benefits.</w:t>
      </w:r>
      <w:bookmarkEnd w:id="1"/>
    </w:p>
    <w:p w14:paraId="3B282923">
      <w:pPr>
        <w:pStyle w:val="2"/>
        <w:keepNext/>
        <w:widowControl/>
        <w:numPr>
          <w:ilvl w:val="0"/>
          <w:numId w:val="0"/>
        </w:numPr>
        <w:spacing w:before="240" w:beforeLines="100" w:beforeAutospacing="0" w:after="120" w:afterLines="10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2. Relevant Studies</w:t>
      </w:r>
    </w:p>
    <w:p w14:paraId="535CF4A3">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2.1 Theoretical Foundations of Diffusion Models</w:t>
      </w:r>
    </w:p>
    <w:p w14:paraId="7A7D5F27">
      <w:pPr>
        <w:pStyle w:val="11"/>
        <w:widowControl/>
        <w:spacing w:before="120" w:beforeAutospacing="0" w:after="120" w:afterAutospacing="0" w:line="360" w:lineRule="auto"/>
        <w:ind w:firstLine="560" w:firstLineChars="200"/>
        <w:rPr>
          <w:rFonts w:hint="eastAsia" w:eastAsia="SimSun"/>
          <w:lang w:eastAsia="zh-CN"/>
        </w:rPr>
      </w:pPr>
      <w:bookmarkStart w:id="2" w:name="_Toc19449_ai"/>
      <w:r>
        <w:rPr>
          <w:rFonts w:hint="eastAsia" w:ascii="Times New Roman" w:hAnsi="Times New Roman" w:eastAsia="SimSun" w:cs="Times New Roman"/>
          <w:kern w:val="0"/>
          <w:sz w:val="28"/>
          <w:szCs w:val="21"/>
          <w:lang w:eastAsia="zh-CN"/>
        </w:rPr>
        <w:t>The modern formulation of diffusion models is built upon the theoretical framework of the Denoising Diffusion Probabilistic Model (DDPM). Its core concept involves using a parametric Markov chain to progressively transform complex data distributions into simple, easily sampled noise distributions (forward process), followed by training a neural network to learn the inverse process (reverse process) for synthesizing high-quality data from pure noise. The Improved DDPM introduces several key enhancements over the original model: 1) Adopting cosine scheduling instead of linear noise scheduling, which ensures smoother noise injection at both initial and final stages, theoretically preserving more low-frequency information and details; 2) Replacing fixed variance parameters in the reverse process with learnable parameters to directly optimize the variational lower bound and improve log-likelihood estimation; 3) Combining a simple noise prediction loss with a rigorous variational lower bound loss to form a hybrid loss function that balances superior sample quality with optimal theoretical constraints. These improvements have elevated the generation quality of the Improved DDPM across multiple benchmark datasets, establishing it as the foundational reference for subsequent diffusion model variants.</w:t>
      </w:r>
      <w:bookmarkEnd w:id="2"/>
    </w:p>
    <w:p w14:paraId="06BEDD6F">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2.2 Research on Acceleration and Simplification of Diffusion Models</w:t>
      </w:r>
    </w:p>
    <w:p w14:paraId="70B44C7C">
      <w:pPr>
        <w:pStyle w:val="11"/>
        <w:widowControl/>
        <w:spacing w:before="120" w:beforeAutospacing="0" w:after="120" w:afterAutospacing="0" w:line="360" w:lineRule="auto"/>
        <w:ind w:firstLine="560" w:firstLineChars="200"/>
        <w:rPr>
          <w:rFonts w:hint="eastAsia" w:eastAsia="SimSun"/>
          <w:lang w:eastAsia="zh-CN"/>
        </w:rPr>
      </w:pPr>
      <w:bookmarkStart w:id="3" w:name="_Toc28350"/>
      <w:r>
        <w:rPr>
          <w:rFonts w:hint="eastAsia" w:ascii="Times New Roman" w:hAnsi="Times New Roman" w:eastAsia="SimSun" w:cs="Times New Roman"/>
          <w:kern w:val="0"/>
          <w:sz w:val="28"/>
          <w:szCs w:val="21"/>
          <w:lang w:eastAsia="zh-CN"/>
        </w:rPr>
        <w:t>To address the inherent challenges of diffusion models—high computational costs and slow sampling speeds—current research primarily focuses on two approaches: sampling acceleration and model simplification. In terms of sampling acceleration, the De-noise Diffusion Implicit Model represents a milestone achievement by reconstructing the diffusion process as a non-Markov chain, enabling high-quality sampling within dozens of steps. Methods such as consistency models and progressive distillation aim to train fast forward networks that approximate or "achieve full simulation" of multi-step sampling processes. Regarding model simplification, some studies focus on designing lighter U-Net architectures or exploring ways to reduce dependence on specific hyperparameters (e.g., noise scheduling). However, most efforts have concentrated on introducing new modules or algorithms to improve efficiency. By contrast, systematic investigations into simplifying the inherently complex components of widely recognized high-performance models (e.g., Improved DDPM) remain insufficient. Particularly, quantitative evaluations of components that increase implementation complexity and training instability—such as "learnable variance" and "mixed loss" —and their performance-cost ratios under various resource constraints and real-world scenarios require further exploration. This study addresses this gap by conducting rigorous ablation experiments and comparative analyses to systematically evaluate and assess the feasibility of simplifying existing complex components without altering the core network architecture.</w:t>
      </w:r>
      <w:bookmarkEnd w:id="3"/>
    </w:p>
    <w:p w14:paraId="010D527E">
      <w:pPr>
        <w:pStyle w:val="2"/>
        <w:keepNext/>
        <w:widowControl/>
        <w:numPr>
          <w:ilvl w:val="0"/>
          <w:numId w:val="0"/>
        </w:numPr>
        <w:spacing w:before="240" w:beforeLines="100" w:beforeAutospacing="0" w:after="120" w:afterLines="10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3. Core Components and Simplification Methods</w:t>
      </w:r>
    </w:p>
    <w:p w14:paraId="4BD1C59C">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3.1 Review of the Mathematical Framework for Diffusion Models</w:t>
      </w:r>
    </w:p>
    <w:p w14:paraId="5BE38758">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The diffusion model consists of a forward process (\(q\)) with progressively added noise and a backward process (\(p_\theta\)) that learns denoising. Within \(T\) steps, the forward process transforms the data \(\(x_0\)\) into an approximation of isotropic Gaussian noise \(\(x_T\)\) using a predefined variance schedule \(\{\beta_t\}_{t=1}^T\):</w:t>
      </w:r>
    </w:p>
    <w:p w14:paraId="271B12B2">
      <w:pPr>
        <w:pStyle w:val="11"/>
        <w:widowControl/>
        <w:numPr>
          <w:ilvl w:val="0"/>
          <w:numId w:val="1"/>
        </w:numPr>
        <w:ind w:left="0" w:leftChars="0" w:firstLine="480" w:firstLineChars="0"/>
        <w:rPr>
          <w:rFonts w:ascii="Times New Roman" w:hAnsi="Times New Roman" w:eastAsia="SimSun" w:cs="Times New Roman"/>
          <w:b w:val="0"/>
          <w:kern w:val="2"/>
          <w:sz w:val="24"/>
          <w:szCs w:val="24"/>
        </w:rPr>
      </w:pPr>
      <w:r>
        <m:rPr/>
        <w:rPr>
          <w:rFonts w:hint="eastAsia" w:ascii="Times New Roman" w:hAnsi="Times New Roman" w:eastAsia="SimSun" w:cs="Times New Roman"/>
          <w:i/>
          <w:kern w:val="2"/>
          <w:sz w:val="24"/>
          <w:szCs w:val="24"/>
          <w:lang w:eastAsia="zh-CN"/>
          <w:oMath/>
        </w:rPr>
        <w:t>\[ q(x_t | x_{t-1}) = \mathcal{N}(x_t; \sqrt{1-\beta_t} x_{t-1}, \beta_t I) \]</w:t>
      </w:r>
      <m:oMath>
        <m:r>
          <m:rPr/>
          <w:rPr>
            <w:rFonts w:hint="default" w:ascii="Cambria Math"/>
          </w:rPr>
          <m:t>q(</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)=oldsymbolextitN(</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;oldsymbolextit√1−et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oldsymbolextitI)</m:t>
        </m:r>
      </m:oMath>
    </w:p>
    <w:p w14:paraId="75FEEA93">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Its closed-form solution enables us to sample \(\x_t\) at any time step \(t\): \(\q(\x_t | \x_0) = \mathcal{N}(x_t; \sqrt{\bar{\alpha}_t} x_0,(1-\bar{\alpha}_t)I)\),其中 \(\bar{\alpha}_t = \prod_{s=1}^{t} (1-\beta_s)\).</w:t>
      </w:r>
    </w:p>
    <w:p w14:paraId="77834533">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The inverse generation process is defined as another parametric Markov chain whose objective is to approximate the true posterior distribution.</w:t>
      </w:r>
    </w:p>
    <w:p w14:paraId="31B84340">
      <w:pPr>
        <w:pStyle w:val="11"/>
        <w:widowControl/>
        <w:numPr>
          <w:ilvl w:val="0"/>
          <w:numId w:val="1"/>
        </w:numPr>
        <w:ind w:left="0" w:leftChars="0" w:firstLine="480" w:firstLineChars="0"/>
        <w:rPr>
          <w:rFonts w:ascii="Times New Roman" w:hAnsi="Times New Roman" w:eastAsia="SimSun" w:cs="Times New Roman"/>
          <w:b w:val="0"/>
          <w:kern w:val="2"/>
          <w:sz w:val="24"/>
          <w:szCs w:val="24"/>
        </w:rPr>
      </w:pPr>
      <w:r>
        <m:rPr/>
        <w:rPr>
          <w:rFonts w:hint="eastAsia" w:ascii="Times New Roman" w:hAnsi="Times New Roman" w:eastAsia="SimSun" w:cs="Times New Roman"/>
          <w:i/>
          <w:kern w:val="2"/>
          <w:sz w:val="24"/>
          <w:szCs w:val="24"/>
          <w:lang w:eastAsia="zh-CN"/>
          <w:oMath/>
        </w:rPr>
        <w:t>\[ p_\theta(x_{t-1} | x_t) = \mathcal{N}(x_{t-1}; \mu_\theta(x_t, t), \Sigma_\theta(x_t, t)) \]</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)=oldsymbolextitN(</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;oldsymbol</m:t>
        </m:r>
        <m:sSub>
          <m:sSubPr>
            <m:ctrlPr>
              <w:rPr>
                <w:rFonts w:hint="default" w:ascii="Cambria Math"/>
              </w:rPr>
            </m:ctrlPr>
          </m:sSubPr>
          <m:e>
            <m:r>
              <m:rPr/>
              <w:rPr>
                <w:rFonts w:hint="default" w:ascii="Cambria Math"/>
              </w:rPr>
              <m:t>extitμ</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,t),oldsymbol</m:t>
        </m:r>
        <m:sSub>
          <m:sSubPr>
            <m:ctrlPr>
              <w:rPr>
                <w:rFonts w:hint="default" w:ascii="Cambria Math"/>
              </w:rPr>
            </m:ctrlPr>
          </m:sSubPr>
          <m:e>
            <m:r>
              <m:rPr/>
              <w:rPr>
                <w:rFonts w:hint="default" w:ascii="Cambria Math"/>
              </w:rPr>
              <m:t>extitΣ</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,t))</m:t>
        </m:r>
      </m:oMath>
    </w:p>
    <w:p w14:paraId="4F8F638F">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The training is achieved by optimizing the lower bound under negative variational constraints (negative ELBO). DDPM employs a sophisticated reparameterization that reduces the objective to directly predicting the injected noise ε, thereby yielding the widely adopted simplified loss function.</w:t>
      </w:r>
    </w:p>
    <w:p w14:paraId="040018CD">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 L_{\text{simple}}(\theta) = \mathbb{E}_{t, x_0, \epsilon} [\| \epsilon - \epsilon_\theta( \sqrt{\bar{\alpha}_t} x_0 + \sqrt{1-\bar{\alpha}_t} \epsilon, t) \|^2 ] \]</w:t>
      </w:r>
    </w:p>
    <w:p w14:paraId="600B72A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Building upon this foundation, the improved DDPM introduces a learnable inverse variance \Sigma_\theta(x_t,t)\) 以及混合损失 \(L_{\text{hybrid}} = L_{\text{simple}} + \lambda L_{\text{vlb}}\),其中 \(L_{\text{vlb}}\) 是变分下界损失项.采样时,从 \(x_T \sim \mathcal{N}(0,I)\) 开始,迭代执行 \(x_{t-1} = \mu_\theta(x_t,t) + \sigma_t z\),其中 \(z \sim \mathcal{N}(0,I)\),\(\sigma_t determined by either a learned parameter or a fixed value.</w:t>
      </w:r>
    </w:p>
    <w:p w14:paraId="6894BFDD">
      <w:pPr>
        <w:pStyle w:val="11"/>
        <w:widowControl/>
        <w:ind w:firstLine="480" w:firstLineChars="200"/>
        <w:rPr>
          <w:rFonts w:ascii="Times New Roman" w:hAnsi="Times New Roman" w:eastAsia="SimSun" w:cs="Times New Roman"/>
          <w:kern w:val="2"/>
          <w:sz w:val="24"/>
          <w:szCs w:val="24"/>
        </w:rPr>
      </w:pPr>
      <m:oMathPara>
        <m:oMath>
          <m:r>
            <m:rPr/>
            <w:rPr>
              <w:rFonts w:hint="default" w:ascii="Cambria Math"/>
            </w:rPr>
            <m:t>oldsymbol</m:t>
          </m:r>
          <m:sSub>
            <m:sSubPr>
              <m:ctrlPr>
                <w:rPr>
                  <w:rFonts w:hint="default" w:ascii="Cambria Math"/>
                </w:rPr>
              </m:ctrlPr>
            </m:sSubPr>
            <m:e>
              <m:r>
                <m:rPr/>
                <w:rPr>
                  <w:rFonts w:hint="default" w:ascii="Cambria Math"/>
                </w:rPr>
                <m:t>extitL</m:t>
              </m:r>
              <m:ctrlPr>
                <w:rPr>
                  <w:rFonts w:hint="default" w:ascii="Cambria Math"/>
                </w:rPr>
              </m:ctrlPr>
            </m:e>
            <m:sub>
              <m:r>
                <m:rPr/>
                <w:rPr>
                  <w:rFonts w:hint="default" w:ascii="Cambria Math"/>
                </w:rPr>
                <m:t>extsimple</m:t>
              </m:r>
              <m:ctrlPr>
                <w:rPr>
                  <w:rFonts w:hint="default" w:ascii="Cambria Math"/>
                </w:rPr>
              </m:ctrlPr>
            </m:sub>
          </m:sSub>
          <m:r>
            <m:rPr/>
            <w:rPr>
              <w:rFonts w:hint="default" w:ascii="Cambria Math"/>
            </w:rPr>
            <m:t>(heta)=oldsymbol</m:t>
          </m:r>
          <m:sSub>
            <m:sSubPr>
              <m:ctrlPr>
                <w:rPr>
                  <w:rFonts w:hint="default" w:ascii="Cambria Math"/>
                </w:rPr>
              </m:ctrlPr>
            </m:sSubPr>
            <m:e>
              <m:r>
                <m:rPr/>
                <w:rPr>
                  <w:rFonts w:hint="default" w:ascii="Cambria Math"/>
                </w:rPr>
                <m:t>extitE</m:t>
              </m:r>
              <m:ctrlPr>
                <w:rPr>
                  <w:rFonts w:hint="default" w:ascii="Cambria Math"/>
                </w:rPr>
              </m:ctrlPr>
            </m:e>
            <m:sub>
              <m:r>
                <m:rPr/>
                <w:rPr>
                  <w:rFonts w:hint="default" w:ascii="Cambria Math"/>
                </w:rPr>
                <m:t>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,oldsymbolextitϵ</m:t>
              </m:r>
              <m:ctrlPr>
                <w:rPr>
                  <w:rFonts w:hint="default" w:ascii="Cambria Math"/>
                </w:rPr>
              </m:ctrlPr>
            </m:sub>
          </m:sSub>
          <m:r>
            <m:rPr/>
            <w:rPr>
              <w:rFonts w:hint="default" w:ascii="Cambria Math"/>
            </w:rPr>
            <m:t>igl[igloldsymbolextit‖oldsymbolextitϵ−oldsymbol</m:t>
          </m:r>
          <m:sSub>
            <m:sSubPr>
              <m:ctrlPr>
                <w:rPr>
                  <w:rFonts w:hint="default" w:ascii="Cambria Math"/>
                </w:rPr>
              </m:ctrlPr>
            </m:sSubPr>
            <m:e>
              <m:r>
                <m:rPr/>
                <w:rPr>
                  <w:rFonts w:hint="default" w:ascii="Cambria Math"/>
                </w:rPr>
                <m:t>extitϵ</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etaigl(oldsymbolextit√̄</m:t>
          </m:r>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t</m:t>
              </m:r>
              <m:ctrlPr>
                <w:rPr>
                  <w:rFonts w:hint="default" w:ascii="Cambria Math"/>
                </w:rPr>
              </m:ctrlPr>
            </m:sub>
          </m:sSub>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+oldsymbolextit√1−̄</m:t>
          </m:r>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oldsymbolextitϵ,tigr)igloldsymbol</m:t>
          </m:r>
          <m:sSup>
            <m:sSupPr>
              <m:ctrlPr>
                <w:rPr>
                  <w:rFonts w:hint="default" w:ascii="Cambria Math"/>
                </w:rPr>
              </m:ctrlPr>
            </m:sSupPr>
            <m:e>
              <m:r>
                <m:rPr/>
                <w:rPr>
                  <w:rFonts w:hint="default" w:ascii="Cambria Math"/>
                </w:rPr>
                <m:t>extit‖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igr]</m:t>
          </m:r>
        </m:oMath>
      </m:oMathPara>
    </w:p>
    <w:p w14:paraId="1EB7401D">
      <w:pPr>
        <w:pStyle w:val="11"/>
        <w:widowControl/>
        <w:spacing w:before="120" w:beforeAutospacing="0" w:after="120" w:afterAutospacing="0" w:line="360" w:lineRule="auto"/>
        <w:ind w:firstLine="560" w:firstLineChars="200"/>
        <w:rPr>
          <w:rFonts w:hint="eastAsia" w:eastAsia="SimSun"/>
          <w:lang w:eastAsia="zh-CN"/>
        </w:rPr>
      </w:pPr>
      <w:bookmarkStart w:id="4" w:name="_Toc19002_ai"/>
      <w:r>
        <w:rPr>
          <w:rFonts w:hint="eastAsia" w:ascii="Times New Roman" w:hAnsi="Times New Roman" w:eastAsia="SimSun" w:cs="Times New Roman"/>
          <w:kern w:val="0"/>
          <w:sz w:val="28"/>
          <w:szCs w:val="21"/>
          <w:lang w:eastAsia="zh-CN"/>
        </w:rPr>
        <w:t>Here, ϵ follows a normal distribution ∼N(0, I). The improved DDPM further introduces a learnable inverse variance Σθ and defines a hybrid loss function L_hybrid = L_simple + λL_vlb, where L_vlb represents the negative logarithmic likelihood term of the variational lower bound.</w:t>
      </w:r>
      <w:bookmarkEnd w:id="4"/>
    </w:p>
    <w:p w14:paraId="7B2F69C4">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3.2 Design of Noise Management Strategies</w:t>
      </w:r>
    </w:p>
    <w:p w14:paraId="62C71640">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Noise scheduling {βt} determines the rate at which information is corrupted during the forward process. This study compares three strategies:</w:t>
      </w:r>
    </w:p>
    <w:p w14:paraId="03C671A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1. Linear scheduling: the default configuration of DDPM.</w:t>
      </w:r>
      <m:oMath>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extmin</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extmax</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extmin</m:t>
            </m:r>
            <m:ctrlPr>
              <w:rPr>
                <w:rFonts w:hint="default" w:ascii="Cambria Math"/>
              </w:rPr>
            </m:ctrlPr>
          </m:sub>
        </m:sSub>
        <m:r>
          <m:rPr/>
          <w:rPr>
            <w:rFonts w:hint="default" w:ascii="Cambria Math"/>
          </w:rPr>
          <m:t>)oldsymbolextit⋅(t/T)</m:t>
        </m:r>
      </m:oMath>
    </w:p>
    <w:p w14:paraId="4008EDDF">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bookmarkStart w:id="5" w:name="_Toc10254"/>
      <w:r>
        <w:rPr>
          <w:rFonts w:hint="eastAsia" w:ascii="Times New Roman" w:hAnsi="Times New Roman" w:eastAsia="SimSun" w:cs="Times New Roman"/>
          <w:kern w:val="0"/>
          <w:sz w:val="28"/>
          <w:szCs w:val="21"/>
          <w:lang w:eastAsia="zh-CN"/>
        </w:rPr>
        <w:t>Linear scheduling: βt = βmin + (βmax − βmin) ⋅ (t/T), which is the original formulation of DDPM.</w:t>
      </w:r>
      <w:bookmarkEnd w:id="5"/>
    </w:p>
    <w:p w14:paraId="7C2A3D17">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2. Cosine scheduling: Defined according to the Improved DDPM, where. This scheduling results in smoother changes throughout the process.</w:t>
      </w:r>
      <m:oMath>
        <m:r>
          <m:rPr/>
          <w:rPr>
            <w:rFonts w:hint="default" w:ascii="Cambria Math"/>
          </w:rPr>
          <m:t>ar</m:t>
        </m:r>
        <m:sSub>
          <m:sSubPr>
            <m:ctrlPr>
              <w:rPr>
                <w:rFonts w:hint="default" w:ascii="Cambria Math"/>
              </w:rPr>
            </m:ctrlPr>
          </m:sSubPr>
          <m:e>
            <m:r>
              <m:rPr/>
              <w:rPr>
                <w:rFonts w:hint="default" w:ascii="Cambria Math"/>
              </w:rPr>
              <m:t>oldsymbolextitα</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=fracf(t)f(0)f(t)=oldsymbolextitcosigl(fract/T+s1+soldsymbolextit⋅fracoldsymbolextitπ2igr</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s=0.008</m:t>
        </m:r>
      </m:oMath>
    </w:p>
    <w:p w14:paraId="1B881735">
      <w:pPr>
        <w:pStyle w:val="11"/>
        <w:widowControl/>
        <w:spacing w:before="120" w:beforeAutospacing="0" w:after="120" w:afterAutospacing="0"/>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 xml:space="preserve">3. Square root scheduling: As a simpler custom solution, it is </w:t>
      </w:r>
      <m:oMath>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=1−oldsymbolextit√1−(t/T)</m:t>
        </m:r>
      </m:oMath>
      <w:r>
        <w:rPr>
          <w:rFonts w:hint="eastAsia" w:ascii="Times New Roman" w:hAnsi="Times New Roman" w:eastAsia="SimSun" w:cs="Times New Roman"/>
          <w:kern w:val="0"/>
          <w:sz w:val="28"/>
          <w:szCs w:val="21"/>
          <w:lang w:eastAsia="zh-CN"/>
        </w:rPr>
        <w:t>defined as follows. This design aims to simulate the smooth characteristics of cosine scheduling using simpler computations.</w:t>
      </w:r>
    </w:p>
    <w:p w14:paraId="5BE2D46F">
      <w:pPr>
        <w:pStyle w:val="3"/>
        <w:keepNext/>
        <w:widowControl/>
        <w:numPr>
          <w:ilvl w:val="0"/>
          <w:numId w:val="0"/>
        </w:numPr>
        <w:spacing w:before="240" w:beforeAutospacing="0" w:after="120" w:afterLines="50" w:afterAutospacing="0"/>
        <w:ind w:left="0" w:leftChars="0" w:firstLine="0" w:firstLineChars="0"/>
        <w:rPr>
          <w:rFonts w:hint="eastAsia" w:ascii="Times New Roman" w:hAnsi="Times New Roman" w:eastAsia="黑体" w:cs="Times New Roman"/>
          <w:b w:val="0"/>
          <w:kern w:val="2"/>
          <w:sz w:val="28"/>
          <w:szCs w:val="28"/>
          <w:lang w:eastAsia="zh-CN" w:bidi="ar-SA"/>
        </w:rPr>
      </w:pPr>
      <w:bookmarkStart w:id="6" w:name="_Toc10254_ai"/>
      <w:bookmarkEnd w:id="6"/>
      <w:r>
        <w:rPr>
          <w:rFonts w:hint="eastAsia" w:ascii="Times New Roman" w:hAnsi="Times New Roman" w:eastAsia="黑体" w:cs="Times New Roman"/>
          <w:kern w:val="44"/>
          <w:sz w:val="32"/>
          <w:szCs w:val="32"/>
          <w:lang w:eastAsia="zh-CN" w:bidi="ar-SA"/>
        </w:rPr>
        <w:t>3.3 Simplification Scheme for Training Configuration</w:t>
      </w:r>
    </w:p>
    <w:p w14:paraId="5D9DCFB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The simplification of training configuration focuses on the variance settings for the inverse process and the loss function:</w:t>
      </w:r>
    </w:p>
    <w:p w14:paraId="27868B28">
      <w:pPr>
        <w:pStyle w:val="11"/>
        <w:widowControl/>
        <w:spacing w:before="120" w:beforeAutospacing="0" w:after="120" w:afterAutospacing="0"/>
        <w:ind w:left="0" w:leftChars="0" w:firstLine="0" w:firstLineChars="0"/>
      </w:pPr>
    </w:p>
    <w:p w14:paraId="682B463F">
      <w:pPr>
        <w:pStyle w:val="11"/>
        <w:widowControl/>
        <w:spacing w:before="120" w:beforeAutospacing="0" w:after="120" w:afterAutospacing="0"/>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1. Complete Configuration: Maintains the settings of Improved DDPM, featuring a learnable inverse variance and hybrid loss function Lhybrid.</w:t>
      </w:r>
    </w:p>
    <w:p w14:paraId="281BD617">
      <w:pPr>
        <w:pStyle w:val="11"/>
        <w:widowControl/>
        <w:spacing w:before="120" w:beforeAutospacing="0" w:after="120" w:afterAutospacing="0"/>
        <w:ind w:left="0" w:leftChars="0" w:firstLine="0" w:firstLineChars="0"/>
      </w:pPr>
    </w:p>
    <w:p w14:paraId="3AB5325C">
      <w:pPr>
        <w:pStyle w:val="11"/>
        <w:widowControl/>
        <w:spacing w:before="120" w:beforeAutospacing="0" w:after="120" w:afterAutospacing="0" w:line="360" w:lineRule="auto"/>
        <w:ind w:firstLine="560" w:firstLineChars="200"/>
        <w:rPr>
          <w:rFonts w:hint="eastAsia" w:eastAsia="SimSun"/>
          <w:lang w:eastAsia="zh-CN"/>
        </w:rPr>
      </w:pPr>
      <w:bookmarkStart w:id="7" w:name="_Toc15277_ai"/>
      <w:r>
        <w:rPr>
          <w:rFonts w:hint="eastAsia" w:ascii="Times New Roman" w:hAnsi="Times New Roman" w:eastAsia="SimSun" w:cs="Times New Roman"/>
          <w:kern w:val="0"/>
          <w:sz w:val="28"/>
          <w:szCs w:val="21"/>
          <w:lang w:eastAsia="zh-CN"/>
        </w:rPr>
        <w:t xml:space="preserve">2. Simplified Configuration: Return to a more basic setup with a fixed </w:t>
      </w:r>
      <m:oMath>
        <m:sSub>
          <m:sSubPr>
            <m:ctrlPr>
              <w:rPr>
                <w:rFonts w:hint="default" w:ascii="Cambria Math"/>
              </w:rPr>
            </m:ctrlPr>
          </m:sSubPr>
          <m:e>
            <m:acc>
              <m:accPr>
                <m:chr m:val="̃"/>
                <m:ctrlPr>
                  <w:rPr>
                    <w:rFonts w:hint="default" w:ascii="Cambria Math"/>
                  </w:rPr>
                </m:ctrlPr>
              </m:accPr>
              <m:e>
                <m:r>
                  <m:rPr/>
                  <w:rPr>
                    <w:rFonts w:hint="default" w:ascii="Cambria Math"/>
                  </w:rPr>
                  <m:t>β</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1−</m:t>
            </m:r>
            <m:sSub>
              <m:sSubPr>
                <m:ctrlPr>
                  <w:rPr>
                    <w:rFonts w:hint="default" w:ascii="Cambria Math"/>
                  </w:rPr>
                </m:ctrlPr>
              </m:sSubPr>
              <m:e>
                <m:acc>
                  <m:accPr>
                    <m:chr m:val="̄"/>
                    <m:ctrlPr>
                      <w:rPr>
                        <w:rFonts w:hint="default" w:ascii="Cambria Math"/>
                      </w:rPr>
                    </m:ctrlPr>
                  </m:accPr>
                  <m:e>
                    <m:r>
                      <m:rPr/>
                      <w:rPr>
                        <w:rFonts w:hint="default" w:ascii="Cambria Math"/>
                      </w:rPr>
                      <m:t>α</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ctrlPr>
              <w:rPr>
                <w:rFonts w:hint="default" w:ascii="Cambria Math"/>
              </w:rPr>
            </m:ctrlPr>
          </m:num>
          <m:den>
            <m:r>
              <m:rPr/>
              <w:rPr>
                <w:rFonts w:hint="default" w:ascii="Cambria Math"/>
              </w:rPr>
              <m:t>1−</m:t>
            </m:r>
            <m:sSub>
              <m:sSubPr>
                <m:ctrlPr>
                  <w:rPr>
                    <w:rFonts w:hint="default" w:ascii="Cambria Math"/>
                  </w:rPr>
                </m:ctrlPr>
              </m:sSubPr>
              <m:e>
                <m:acc>
                  <m:accPr>
                    <m:chr m:val="̄"/>
                    <m:ctrlPr>
                      <w:rPr>
                        <w:rFonts w:hint="default" w:ascii="Cambria Math"/>
                      </w:rPr>
                    </m:ctrlPr>
                  </m:accPr>
                  <m:e>
                    <m:r>
                      <m:rPr/>
                      <w:rPr>
                        <w:rFonts w:hint="default" w:ascii="Cambria Math"/>
                      </w:rPr>
                      <m:t>α</m:t>
                    </m:r>
                    <m:ctrlPr>
                      <w:rPr>
                        <w:rFonts w:hint="default" w:ascii="Cambria Math"/>
                      </w:rPr>
                    </m:ctrlPr>
                  </m:e>
                </m:acc>
                <m:ctrlPr>
                  <w:rPr>
                    <w:rFonts w:hint="default" w:ascii="Cambria Math"/>
                  </w:rPr>
                </m:ctrlPr>
              </m:e>
              <m:sub>
                <m:r>
                  <m:rPr/>
                  <w:rPr>
                    <w:rFonts w:hint="default" w:ascii="Cambria Math"/>
                  </w:rPr>
                  <m:t>t−1</m:t>
                </m:r>
                <m:ctrlPr>
                  <w:rPr>
                    <w:rFonts w:hint="default" w:ascii="Cambria Math"/>
                  </w:rPr>
                </m:ctrlPr>
              </m:sub>
            </m:sSub>
            <m:ctrlPr>
              <w:rPr>
                <w:rFonts w:hint="default" w:ascii="Cambria Math"/>
              </w:rPr>
            </m:ctrlPr>
          </m:den>
        </m:f>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t</m:t>
            </m:r>
            <m:ctrlPr>
              <w:rPr>
                <w:rFonts w:hint="default" w:ascii="Cambria Math"/>
              </w:rPr>
            </m:ctrlPr>
          </m:sub>
        </m:sSub>
      </m:oMath>
      <w:r>
        <w:rPr>
          <w:rFonts w:hint="eastAsia" w:ascii="Times New Roman" w:hAnsi="Times New Roman" w:eastAsia="SimSun" w:cs="Times New Roman"/>
          <w:kern w:val="0"/>
          <w:sz w:val="28"/>
          <w:szCs w:val="21"/>
          <w:lang w:eastAsia="zh-CN"/>
        </w:rPr>
        <w:t>inverse variance (set to) and the simplified loss function Lsimple. This configuration removes direct optimization of the variational lower bound and related parameter learning.</w:t>
      </w:r>
      <w:bookmarkEnd w:id="7"/>
    </w:p>
    <w:p w14:paraId="16CE4B3B">
      <w:pPr>
        <w:pStyle w:val="3"/>
        <w:keepNext/>
        <w:pageBreakBefore/>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3.4 Experimental Design</w:t>
      </w:r>
    </w:p>
    <w:p w14:paraId="6400AD5A">
      <w:pPr>
        <w:pStyle w:val="11"/>
        <w:widowControl/>
        <w:spacing w:before="120" w:beforeAutospacing="0" w:after="120" w:afterAutospacing="0"/>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For fair comparison, all experiments employed the same U-Net backbone network, optimizer (AdamW), learning rate, and total training rounds. Experiments were conducted on two classical datasets: MNIST for preliminary validation and rapid iteration, and CIFAR-10 to derive primary conclusions. Each experiment was run with three fixed random seeds, and average performance with standard deviation is reported.</w:t>
      </w:r>
    </w:p>
    <w:p w14:paraId="73C3D925">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Evaluation metrics include:</w:t>
      </w:r>
    </w:p>
    <w:p w14:paraId="452094F6">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1. Generation Quality: Frechet Inception Distance (FID – the lower, the better) and Peak Signal-to-Noise Ratio (PSNR – the higher, the better)</w:t>
      </w:r>
    </w:p>
    <w:p w14:paraId="0D3C90B4">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2. Efficiency: Total training time and sampling time under different step counts</w:t>
      </w:r>
    </w:p>
    <w:p w14:paraId="6B1F1631">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3. Training stability: The variance of the training loss curve during the final 50 epochs</w:t>
      </w:r>
    </w:p>
    <w:p w14:paraId="18FCE9E3">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The specific experimental group settings are shown in Table 1, designed to isolate the effects of noise scheduling and training configurations.</w:t>
      </w:r>
    </w:p>
    <w:p w14:paraId="5E1F8429">
      <w:pPr>
        <w:pStyle w:val="31"/>
        <w:widowControl/>
        <w:rPr>
          <w:rFonts w:hint="eastAsia" w:eastAsia="SimSun"/>
          <w:lang w:eastAsia="zh-CN"/>
        </w:rPr>
      </w:pPr>
      <w:r>
        <w:rPr>
          <w:rFonts w:hint="eastAsia" w:ascii="Times New Roman" w:hAnsi="Times New Roman" w:eastAsia="SimSun" w:cs="Times New Roman"/>
          <w:kern w:val="0"/>
          <w:sz w:val="28"/>
          <w:szCs w:val="21"/>
          <w:lang w:eastAsia="zh-CN" w:bidi="ar-SA"/>
        </w:rPr>
        <w:t>Table 1: Core Experimental Group Configuration</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28"/>
        <w:gridCol w:w="1449"/>
        <w:gridCol w:w="2009"/>
        <w:gridCol w:w="2828"/>
      </w:tblGrid>
      <w:tr w14:paraId="0B84AFF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0302DC8">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Experimental Group Label</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483AF5">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Noise Scheduling</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72F71C6">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Training Configuration</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B8C8A32">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explain</w:t>
            </w:r>
          </w:p>
        </w:tc>
      </w:tr>
      <w:tr w14:paraId="3F2CA0D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D73E3B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Exp-Baseline​</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1ECDDC9">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cosine</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B495EE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Learnable variance + mixed loss</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1B3595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Complete and improved DDPM configuration as a performance benchmark</w:t>
            </w:r>
          </w:p>
        </w:tc>
      </w:tr>
      <w:tr w14:paraId="45C6EFB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CA778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Exp-DDPM​</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4D15A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linear</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6099D3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Fixed variance + Simplified loss</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28EA49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Original DDPM configuration as the starting point for simplification</w:t>
            </w:r>
          </w:p>
        </w:tc>
      </w:tr>
      <w:tr w14:paraId="36C0397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022E7C1">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20D082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linear</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16A7804">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Fixed variance + Simplified loss</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16B349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Performance of test linear scheduling under simplified configurations</w:t>
            </w:r>
          </w:p>
        </w:tc>
      </w:tr>
      <w:tr w14:paraId="3C5EC48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87DA52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117943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cosine</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8739001">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Fixed variance + Simplified loss</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0178FA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Performance of the test cosine scheduling algorithm under simplified configurations</w:t>
            </w:r>
          </w:p>
        </w:tc>
      </w:tr>
      <w:tr w14:paraId="05971053">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D7C1E0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Exp-A3​</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0687D3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square root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DEEB5E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Fixed variance + Simplified loss</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5967F8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Test the performance of custom square root scheduling</w:t>
            </w:r>
          </w:p>
        </w:tc>
      </w:tr>
    </w:tbl>
    <w:p w14:paraId="2A3DE3E7">
      <w:pPr>
        <w:pStyle w:val="2"/>
        <w:keepNext/>
        <w:widowControl/>
        <w:numPr>
          <w:ilvl w:val="0"/>
          <w:numId w:val="0"/>
        </w:numPr>
        <w:spacing w:before="240" w:beforeLines="100" w:beforeAutospacing="0" w:after="120" w:afterLines="100" w:afterAutospacing="0"/>
        <w:ind w:left="0" w:leftChars="0" w:firstLine="0" w:firstLineChars="0"/>
        <w:rPr>
          <w:rFonts w:hint="eastAsia" w:eastAsia="黑体"/>
          <w:lang w:eastAsia="zh-CN"/>
        </w:rPr>
      </w:pPr>
      <w:bookmarkStart w:id="8" w:name="_Toc16299_ai"/>
      <w:bookmarkStart w:id="9" w:name="_Toc25739"/>
      <w:r>
        <w:rPr>
          <w:rFonts w:hint="eastAsia" w:ascii="Times New Roman" w:hAnsi="Times New Roman" w:eastAsia="黑体" w:cs="Times New Roman"/>
          <w:kern w:val="44"/>
          <w:sz w:val="28"/>
          <w:szCs w:val="32"/>
          <w:lang w:eastAsia="zh-CN" w:bidi="ar-SA"/>
        </w:rPr>
        <w:t>4. Exper</w:t>
      </w:r>
      <w:bookmarkEnd w:id="8"/>
      <w:r>
        <w:rPr>
          <w:rFonts w:hint="eastAsia" w:ascii="Times New Roman" w:hAnsi="Times New Roman" w:eastAsia="黑体" w:cs="Times New Roman"/>
          <w:kern w:val="44"/>
          <w:sz w:val="28"/>
          <w:szCs w:val="32"/>
          <w:lang w:eastAsia="zh-CN" w:bidi="ar-SA"/>
        </w:rPr>
        <w:t>imentation and Analysis</w:t>
      </w:r>
      <w:bookmarkEnd w:id="9"/>
    </w:p>
    <w:p w14:paraId="0E9C3B04">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bookmarkStart w:id="10" w:name="_Toc25739_ai"/>
      <w:r>
        <w:rPr>
          <w:rFonts w:hint="eastAsia" w:ascii="Times New Roman" w:hAnsi="Times New Roman" w:eastAsia="黑体" w:cs="Times New Roman"/>
          <w:kern w:val="2"/>
          <w:sz w:val="28"/>
          <w:szCs w:val="28"/>
          <w:lang w:eastAsia="zh-CN" w:bidi="ar-SA"/>
        </w:rPr>
        <w:t>4.1 Comparativ</w:t>
      </w:r>
      <w:bookmarkEnd w:id="10"/>
      <w:r>
        <w:rPr>
          <w:rFonts w:hint="eastAsia" w:ascii="Times New Roman" w:hAnsi="Times New Roman" w:eastAsia="黑体" w:cs="Times New Roman"/>
          <w:kern w:val="2"/>
          <w:sz w:val="28"/>
          <w:szCs w:val="28"/>
          <w:lang w:eastAsia="zh-CN" w:bidi="ar-SA"/>
        </w:rPr>
        <w:t>e Experiment on Noise Scheduling Strategies</w:t>
      </w:r>
    </w:p>
    <w:p w14:paraId="51E530A5">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Using a simplified training configuration, three noise scheduling strategies—linear scheduling, square-root scheduling, and cosine scheduling—were compared on the CIFAR-10 dataset. All experiments employed identical network architectures, training rounds, and optimizer settings to ensure fair comparison. The results are presented in Table 2.</w:t>
      </w:r>
    </w:p>
    <w:p w14:paraId="20D0A00F">
      <w:pPr>
        <w:pStyle w:val="31"/>
        <w:widowControl/>
        <w:rPr>
          <w:rFonts w:hint="eastAsia" w:eastAsia="SimSun"/>
          <w:lang w:eastAsia="zh-CN"/>
        </w:rPr>
      </w:pPr>
      <w:r>
        <w:rPr>
          <w:rFonts w:hint="eastAsia" w:ascii="Times New Roman" w:hAnsi="Times New Roman" w:eastAsia="SimSun" w:cs="Times New Roman"/>
          <w:kern w:val="0"/>
          <w:sz w:val="28"/>
          <w:szCs w:val="21"/>
          <w:lang w:eastAsia="zh-CN" w:bidi="ar-SA"/>
        </w:rPr>
        <w:t>Table 2: Performance comparison of different noise scheduling strategies under simplified training configurations (CIFAR-10)</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237"/>
        <w:gridCol w:w="1259"/>
        <w:gridCol w:w="1322"/>
        <w:gridCol w:w="2496"/>
      </w:tblGrid>
      <w:tr w14:paraId="75579BD1">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9B861BF">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Experimental Group (Scheduling Strategy)</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BDAC0D">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FID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00E59C5">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PSNR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7B9BCBD">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Training Stability (Variance, ↓)</w:t>
            </w:r>
          </w:p>
        </w:tc>
      </w:tr>
      <w:tr w14:paraId="6CAACDA9">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F74691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Exp-A1 (Linear)</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DA3633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12.37 ± 0.21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4071B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22.15 ± 0.18</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4BF65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6.81 × 10⁻⁴</w:t>
            </w:r>
          </w:p>
        </w:tc>
      </w:tr>
      <w:tr w14:paraId="04A558BD">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D90C8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Exp-A2（ cosine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0D0177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9.85 ± 0.15​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9FAEC2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23.42 ± 0.12​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C0FE19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5.23 × 10⁻⁴​</w:t>
            </w:r>
          </w:p>
        </w:tc>
      </w:tr>
      <w:tr w14:paraId="71812AA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45FB3E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Exp-A3 (Square Root)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CE3A3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10.29 ± 0.19</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736869">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23.18 ± 0.15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C0D1AF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5.47 × 10⁻⁴</w:t>
            </w:r>
          </w:p>
        </w:tc>
      </w:tr>
    </w:tbl>
    <w:p w14:paraId="7BCE06EA">
      <w:pPr>
        <w:pStyle w:val="11"/>
        <w:widowControl/>
        <w:spacing w:before="120" w:beforeAutospacing="0" w:after="120" w:afterAutospacing="0" w:line="360" w:lineRule="auto"/>
        <w:ind w:firstLine="560" w:firstLineChars="200"/>
        <w:rPr>
          <w:rFonts w:hint="eastAsia" w:eastAsia="SimSun"/>
          <w:lang w:eastAsia="zh-CN"/>
        </w:rPr>
      </w:pPr>
      <w:bookmarkStart w:id="11" w:name="_Toc23310_ai"/>
      <w:r>
        <w:rPr>
          <w:rFonts w:hint="eastAsia" w:ascii="Times New Roman" w:hAnsi="Times New Roman" w:eastAsia="SimSun" w:cs="Times New Roman"/>
          <w:kern w:val="0"/>
          <w:sz w:val="28"/>
          <w:szCs w:val="21"/>
          <w:lang w:eastAsia="zh-CN"/>
        </w:rPr>
        <w:t>The analysis results demonstrate that under identical simplified training configurations, cosine scheduling achieves the optimal FID score, confirming its design advantages. Notably, square root scheduling exhibits performance closely resembling cosine scheduling, with a mere 4.5% difference in FID values and significantly outperforming linear scheduling. Furthermore, the variance between the training loss curves of cosine and square root scheduling is minimal, indicating more stable optimization processes. These findings highlight the importance of implementing noise scheduling mechanisms with smoother transitions during diffusion initiation and termination phases; however, a simple square root function can effectively approximate cosine scheduling's performance, providing a high-performance lightweight alternative for applications prioritizing simplicity. Visualizations also reveal that both square root and cosine scheduling produce images superior to linear scheduling in terms of detail richness and structural consistency.</w:t>
      </w:r>
      <w:bookmarkEnd w:id="11"/>
    </w:p>
    <w:p w14:paraId="7C91B258">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4.2 Simplifying the Training Configuration Verification Experiment</w:t>
      </w:r>
    </w:p>
    <w:p w14:paraId="2F5FA9A6">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The optimal cosine noise scheduling method was fixedly employed, and a comparison was made between the full training configuration and the simplified one. The full configuration follows the Improved DDPM design, incorporating learnable inverse process variance and a hybrid objective function (simplified to Lvlb terms), whereas the simplified configuration uses a fixed variance and a simplified mean squared error loss function. Experiments were conducted under identical initialization conditions and training durations, with results presented in Table 3.</w:t>
      </w:r>
    </w:p>
    <w:p w14:paraId="7B03FA9F">
      <w:pPr>
        <w:pStyle w:val="31"/>
        <w:widowControl/>
        <w:rPr>
          <w:rFonts w:hint="eastAsia" w:eastAsia="SimSun"/>
          <w:lang w:eastAsia="zh-CN"/>
        </w:rPr>
      </w:pPr>
      <w:r>
        <w:rPr>
          <w:rFonts w:hint="eastAsia" w:ascii="Times New Roman" w:hAnsi="Times New Roman" w:eastAsia="SimSun" w:cs="Times New Roman"/>
          <w:kern w:val="0"/>
          <w:sz w:val="28"/>
          <w:szCs w:val="21"/>
          <w:lang w:eastAsia="zh-CN" w:bidi="ar-SA"/>
        </w:rPr>
        <w:t>Table 3: Ablation analysis of training configuration simplification effects (based on cosine scheduling)</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20"/>
        <w:gridCol w:w="1337"/>
        <w:gridCol w:w="1933"/>
        <w:gridCol w:w="2724"/>
      </w:tblGrid>
      <w:tr w14:paraId="625E7D6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1915B23">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Training Configuration</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7FD307B">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FID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B91E8A1">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Training Time (hours)</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002E50">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Perform Complexity Assessment</w:t>
            </w:r>
          </w:p>
        </w:tc>
      </w:tr>
      <w:tr w14:paraId="56260305">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700864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Exp-Baseline (Complete)</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3F1696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9.02 ± 0.12​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F1D17E4">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22.3</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59D370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Gao</w:t>
            </w:r>
          </w:p>
        </w:tc>
      </w:tr>
      <w:tr w14:paraId="58A8790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7EE5A3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Exp-A2 (Simplified)</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7FACD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9.85 ± 0.15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0792F1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18.7​</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970C7A8">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low</w:t>
            </w:r>
          </w:p>
        </w:tc>
      </w:tr>
    </w:tbl>
    <w:p w14:paraId="71F58FF6">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bookmarkStart w:id="12" w:name="_Toc8465_ai"/>
      <w:r>
        <w:rPr>
          <w:rFonts w:hint="eastAsia" w:ascii="Times New Roman" w:hAnsi="Times New Roman" w:eastAsia="SimSun" w:cs="Times New Roman"/>
          <w:kern w:val="0"/>
          <w:sz w:val="28"/>
          <w:szCs w:val="21"/>
          <w:lang w:eastAsia="zh-CN"/>
        </w:rPr>
        <w:t>Data analysis demonstrates that adopting a simplified training configuration results in a measurable decline in generation quality, with the FID score increasing by approximately 9.2%. This confirms the effectiveness of the learnable variance and hybrid loss function introduced in Improved DDPM for further optimizing the model's theoretical boundaries and achieving optimal generation quality. However, the simplified configuration saves over 16% of training time, primarily due to eliminating computational overhead associated with calculating the Lvlb term in the hybrid loss function and updating gradients for learnable variance parameters. More importantly, it significantly reduces both implementation complexity and code comprehension difficulty. This trade-off clearly highlights the substantial practical value of simplified configurations in scenarios prioritizing development efficiency, training speed, and code maintainability—such as educational applications, prototype validation, or resource-constrained deployments—rather than excessive pursuit of peak performance metrics. Experiments also confirm consistent performance trends across different random seeds, demonstrating its reliability.</w:t>
      </w:r>
      <w:bookmarkEnd w:id="12"/>
    </w:p>
    <w:p w14:paraId="414E6CED">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4.3 Trade-off Analysis Between Sampling Efficiency and Generation Quality</w:t>
      </w:r>
    </w:p>
    <w:p w14:paraId="4ECC155A">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Using the performance-optimal simplified configuration (Exp-A2), we further investigated how reducing the number of sampling steps during inference impacts generation quality and speed. The experiments employed 200,300,500, and 1000 sampling steps respectively, with FID scores and average generation time per sample calculated on the same test set. The results are presented in Figure 1's trade-off curve and Table 4.</w:t>
      </w:r>
    </w:p>
    <w:p w14:paraId="665BDDF0">
      <w:pPr>
        <w:pStyle w:val="31"/>
        <w:widowControl/>
        <w:rPr>
          <w:rFonts w:hint="eastAsia" w:eastAsia="SimSun"/>
          <w:lang w:eastAsia="zh-CN"/>
        </w:rPr>
      </w:pPr>
      <w:r>
        <w:rPr>
          <w:rFonts w:hint="eastAsia" w:ascii="Times New Roman" w:hAnsi="Times New Roman" w:eastAsia="SimSun" w:cs="Times New Roman"/>
          <w:kern w:val="0"/>
          <w:sz w:val="28"/>
          <w:szCs w:val="21"/>
          <w:lang w:eastAsia="zh-CN" w:bidi="ar-SA"/>
        </w:rPr>
        <w:t>Table 4: Performance and Efficiency at Different Sampling Steps (Based on the Exp-A2 Configuration)</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70"/>
        <w:gridCol w:w="646"/>
        <w:gridCol w:w="3965"/>
        <w:gridCol w:w="1933"/>
      </w:tblGrid>
      <w:tr w14:paraId="1CC2368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4DA12A">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Sampling Steps</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54DAB90">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FID</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E907F6C">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Single sheet sample sampling time (seconds)</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EAA5913">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FID relative growth</w:t>
            </w:r>
          </w:p>
        </w:tc>
      </w:tr>
      <w:tr w14:paraId="697D02DB">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04F8B1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1000 (Reference)</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68EC4C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9.85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FBD89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45.2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E78415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0%</w:t>
            </w:r>
          </w:p>
        </w:tc>
      </w:tr>
      <w:tr w14:paraId="6DC4F69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883834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500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4B9F92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10.41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39C597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22.8</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9D742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+5.7%</w:t>
            </w:r>
          </w:p>
        </w:tc>
      </w:tr>
      <w:tr w14:paraId="5F1233BC">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F11BBF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300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F8BB2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11.25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9A3500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13.7</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BA2837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+14.2%</w:t>
            </w:r>
          </w:p>
        </w:tc>
      </w:tr>
      <w:tr w14:paraId="229F01A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442ED7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B8024B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13.07</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87CE6A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0F0ECF8">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+32.7%</w:t>
            </w:r>
          </w:p>
        </w:tc>
      </w:tr>
    </w:tbl>
    <w:p w14:paraId="0592BCCF">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8"/>
          <w:szCs w:val="24"/>
          <w:lang w:eastAsia="zh-CN"/>
        </w:rPr>
      </w:pPr>
      <w:bookmarkStart w:id="13" w:name="_Toc1942_ai"/>
      <w:r>
        <w:rPr>
          <w:rFonts w:hint="eastAsia" w:ascii="Times New Roman" w:hAnsi="Times New Roman" w:eastAsia="SimSun" w:cs="Times New Roman"/>
          <w:kern w:val="2"/>
          <w:sz w:val="28"/>
          <w:szCs w:val="24"/>
          <w:lang w:eastAsia="zh-CN"/>
        </w:rPr>
        <w:t>The analysis demonstrates that the relationship between reduced sampling steps and decreased generation quality is not linear. When the number of steps decreases from 1,000 to 500, the FID score increases by only 5.7% despite a doubling of sampling speed. At 300 steps, the FID score rises by 14.2%, remaining within acceptable limits while sampling speed more than triples. However, further reduction to 200 steps causes a sharp deterioration in FID scores and significant quality loss. Consequently, the range of 300–500 steps is identified as an optimal balance between efficiency and quality. Sampling within this range achieves substantial inference acceleration with minimal impact on perceived generation quality, proving particularly valuable for rapid-generation or interactive applications. This conclusion also holds consistency across generation tasks at different resolutions, indicating its broad applicability.</w:t>
      </w:r>
      <w:bookmarkEnd w:id="13"/>
    </w:p>
    <w:p w14:paraId="69F0975C">
      <w:pPr>
        <w:pStyle w:val="2"/>
        <w:keepNext/>
        <w:widowControl/>
        <w:numPr>
          <w:ilvl w:val="0"/>
          <w:numId w:val="0"/>
        </w:numPr>
        <w:spacing w:before="240" w:beforeLines="100" w:beforeAutospacing="0" w:after="120" w:afterLines="10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5. Conclusion</w:t>
      </w:r>
    </w:p>
    <w:p w14:paraId="3F4033BC">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Through a series of rigorous controlled variable experiments, this study conducted a systematic simplified empirical analysis of the key configurable components in the high-performance diffusion model Improved DDPM. The research quantified the specific impacts of different simplification strategies on generation quality, training efficiency, implementation complexity, and inference speed.</w:t>
      </w:r>
    </w:p>
    <w:p w14:paraId="0CBE033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The key conclusions are as follows: First, in noise scheduling, a simpler square-root scheduling strategy achieves performance nearly identical to the widely adopted cosine scheduling (FID difference &lt;5%), serving as an efficient and lightweight alternative. Second, regarding training configuration, the use of "fixed variance" and a simplified loss function results in approximately a 9% trade-off in FID performance but delivers over 16% training acceleration while significantly reducing implementation complexity and code comprehension difficulty, offering exceptional cost-effectiveness in scenarios emphasizing development efficiency and practical deployment. Finally, during model inference, the number of sampling steps can be safely reduced from the standard 1000 to 300–500 steps, achieving several-fold inference acceleration while maintaining controllable generation quality degradation (FID increase &lt;15%).</w:t>
      </w:r>
    </w:p>
    <w:p w14:paraId="1A0E30A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In summary, this study provides a clear, empirically supported set of simplified configuration guidelines for diffusion model applications with resource constraints, emphasis on iteration efficiency, or requirements for instructional demonstration. Practitioners can flexibly select configuration combinations based on their specific needs regarding performance versus efficiency trade-offs. Future work will explore the generalizability of these simplification strategies across larger and more complex datasets, and investigate their integration with advanced fast sampling algorithms to develop diffusion model solutions that optimize both training and inference processes.</w:t>
      </w:r>
    </w:p>
    <w:p w14:paraId="49B14E5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0F6A6B4">
      <w:r>
        <w:br w:type="page"/>
      </w:r>
    </w:p>
    <w:p w14:paraId="449ED8A3">
      <w:pPr>
        <w:pStyle w:val="30"/>
        <w:pageBreakBefore/>
        <w:widowControl/>
        <w:spacing w:before="240" w:beforeLines="100" w:beforeAutospacing="0" w:after="120" w:afterLines="100" w:afterAutospacing="0"/>
        <w:rPr>
          <w:rFonts w:hint="eastAsia" w:eastAsia="黑体"/>
          <w:lang w:eastAsia="zh-CN"/>
        </w:rPr>
      </w:pPr>
      <w:r>
        <w:rPr>
          <w:rFonts w:hint="eastAsia" w:ascii="Times New Roman" w:hAnsi="Times New Roman" w:eastAsia="黑体" w:cs="Times New Roman"/>
          <w:kern w:val="44"/>
          <w:sz w:val="32"/>
          <w:szCs w:val="32"/>
          <w:lang w:eastAsia="zh-CN" w:bidi="ar-SA"/>
        </w:rPr>
        <w:t>References</w:t>
      </w:r>
    </w:p>
    <w:p w14:paraId="0070DEA4">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1. Ho, J., Jain, A., &amp; Abbeel, P. (2020). Denoising diffusion probabilistic models. Advances in Neural Information Processing Systems, 33, 6840-6851.</w:t>
      </w:r>
    </w:p>
    <w:p w14:paraId="293D89E2">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2. Nichol, A. Q., &amp; Dhariwal, P. (2021). Improved denoising diffusion probabilistic models. International Conference on Machine Learning(pp. 8162-8171). PMLR.</w:t>
      </w:r>
    </w:p>
    <w:p w14:paraId="3B2BC02E">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3. Song, J., Meng, C., &amp; Ermon, S. (2021). Denoising diffusion implicit models. International Conference on Learning Representations.</w:t>
      </w:r>
    </w:p>
    <w:p w14:paraId="09B0FF9D">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4. Song, Y., &amp; Ermon, S. (2020). Improved techniques for training score-based generative models. Advances in Neural Information Processing Systems, 33, 12438-12448.</w:t>
      </w:r>
    </w:p>
    <w:p w14:paraId="229192BC">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5. Dhariwal, P., &amp; Nichol, A. (2021). Diffusion models beat GANs on image synthesis. Advances in Neural Information Processing Systems, 34, 8780-8794.</w:t>
      </w:r>
    </w:p>
    <w:p w14:paraId="72389A2A">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6. Kingma, D. P., Salimans, T., Poole, B., &amp; Ho, J. (2021). Variational diffusion models. Advances in Neural Information Processing Systems, 34, 21696-21707.</w:t>
      </w:r>
    </w:p>
    <w:p w14:paraId="62515671">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7. Rombach, R., Blattmann, A., Lorenz, D., Esser, P., &amp; Ommer, B. (2022). High-resolution image synthesis with latent diffusion models. Proceedings of the IEEE/CVF Conference on Computer Vision and Pattern Recognition(pp. 10684-10695).</w:t>
      </w:r>
    </w:p>
    <w:p w14:paraId="3CCA1159">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8. Lugmayr, A., Danelljan, M., Romero, A., Yu, F., Timofte, R., &amp; Van Gool, L. (2022). Repaint: Inpainting using denoising diffusion probabilistic models. Proceedings of the IEEE/CVF Conference on Computer Vision and Pattern Recognition(pp. 11461-11471).</w:t>
      </w:r>
    </w:p>
    <w:p w14:paraId="7A80B04C">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9. Ho, J., &amp; Salimans, T. (2022). Classifier-free diffusion guidance. arXiv preprint arXiv:2207.12598.</w:t>
      </w:r>
    </w:p>
    <w:p w14:paraId="54AE531B">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10. Saharia, C., Chan, W., Saxena, S., Li, L., Whang, J., Denton, E. L., ... &amp; Norouzi, M. (2022). Photorealistic text-to-image diffusion models with deep language understanding. Advances in Neural Information Processing Systems, 35, 36479-36494.</w:t>
      </w:r>
    </w:p>
    <w:p w14:paraId="4196F8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굴림">
    <w:panose1 w:val="020B0600000101010101"/>
    <w:charset w:val="81"/>
    <w:family w:val="auto"/>
    <w:pitch w:val="default"/>
    <w:sig w:usb0="B00002AF" w:usb1="69D77CFB" w:usb2="00000030" w:usb3="00000000" w:csb0="4008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017594"/>
    <w:multiLevelType w:val="singleLevel"/>
    <w:tmpl w:val="6E017594"/>
    <w:lvl w:ilvl="0" w:tentative="0">
      <w:start w:val="1"/>
      <w:numFmt w:val="decimal"/>
      <w:suff w:val="space"/>
      <w:lvlText w:val=""/>
      <w:lvlJc w:val="left"/>
      <w:pPr>
        <w:ind w:left="0" w:firstLine="4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NotDisplayPageBoundaries w:val="1"/>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733F8"/>
    <w:rsid w:val="054C40C2"/>
    <w:rsid w:val="0AD87327"/>
    <w:rsid w:val="0F2733F8"/>
    <w:rsid w:val="1BDE3264"/>
    <w:rsid w:val="51BD0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unhideWhenUsed/>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semiHidden/>
    <w:unhideWhenUsed/>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SimSun"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SimSun"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SimSun"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SimSun"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SimSun"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SimSun" w:cs="Times New Roman"/>
      <w:kern w:val="2"/>
      <w:sz w:val="24"/>
      <w:szCs w:val="24"/>
      <w:lang w:bidi="ar-SA"/>
    </w:rPr>
  </w:style>
  <w:style w:type="character" w:default="1" w:styleId="20">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outlineLvl w:val="9"/>
    </w:pPr>
    <w:rPr>
      <w:rFonts w:ascii="Times New Roman" w:hAnsi="Times New Roman" w:eastAsia="SimSun" w:cs="Times New Roman"/>
      <w:kern w:val="2"/>
      <w:sz w:val="24"/>
      <w:szCs w:val="24"/>
    </w:rPr>
  </w:style>
  <w:style w:type="paragraph" w:styleId="12">
    <w:name w:val="toc 3"/>
    <w:next w:val="1"/>
    <w:qFormat/>
    <w:uiPriority w:val="0"/>
    <w:pPr>
      <w:adjustRightInd w:val="0"/>
      <w:spacing w:line="400" w:lineRule="exact"/>
      <w:ind w:left="0" w:leftChars="0" w:firstLine="480" w:firstLineChars="200"/>
    </w:pPr>
    <w:rPr>
      <w:rFonts w:ascii="Times New Roman" w:hAnsi="Times New Roman" w:eastAsia="SimSun" w:cs="Times New Roman"/>
      <w:sz w:val="24"/>
      <w:szCs w:val="24"/>
    </w:rPr>
  </w:style>
  <w:style w:type="paragraph" w:styleId="13">
    <w:name w:val="toc 1"/>
    <w:next w:val="1"/>
    <w:qFormat/>
    <w:uiPriority w:val="0"/>
    <w:pPr>
      <w:adjustRightInd w:val="0"/>
      <w:spacing w:line="400" w:lineRule="exact"/>
      <w:ind w:firstLine="0" w:firstLineChars="0"/>
    </w:pPr>
    <w:rPr>
      <w:rFonts w:ascii="Times New Roman" w:hAnsi="Times New Roman" w:eastAsia="黑体" w:cs="Times New Roman"/>
      <w:sz w:val="24"/>
      <w:szCs w:val="24"/>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5">
    <w:name w:val="toc 2"/>
    <w:next w:val="1"/>
    <w:qFormat/>
    <w:uiPriority w:val="0"/>
    <w:pPr>
      <w:adjustRightInd w:val="0"/>
      <w:spacing w:line="400" w:lineRule="exact"/>
      <w:ind w:left="0" w:leftChars="0" w:firstLine="240" w:firstLineChars="100"/>
    </w:pPr>
    <w:rPr>
      <w:rFonts w:ascii="Times New Roman" w:hAnsi="Times New Roman" w:eastAsia="SimSun" w:cs="Times New Roman"/>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character" w:styleId="21">
    <w:name w:val="Strong"/>
    <w:basedOn w:val="20"/>
    <w:qFormat/>
    <w:uiPriority w:val="0"/>
    <w:rPr>
      <w:b/>
    </w:rPr>
  </w:style>
  <w:style w:type="character" w:styleId="22">
    <w:name w:val="Emphasis"/>
    <w:basedOn w:val="20"/>
    <w:qFormat/>
    <w:uiPriority w:val="0"/>
    <w:rPr>
      <w:i/>
    </w:rPr>
  </w:style>
  <w:style w:type="character" w:styleId="23">
    <w:name w:val="Hyperlink"/>
    <w:basedOn w:val="20"/>
    <w:uiPriority w:val="0"/>
    <w:rPr>
      <w:color w:val="0000FF"/>
      <w:u w:val="single"/>
    </w:rPr>
  </w:style>
  <w:style w:type="paragraph" w:customStyle="1" w:styleId="24">
    <w:name w:val="摘要标题"/>
    <w:next w:val="1"/>
    <w:qFormat/>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25">
    <w:name w:val="摘要正文"/>
    <w:next w:val="1"/>
    <w:qFormat/>
    <w:uiPriority w:val="0"/>
    <w:pPr>
      <w:widowControl w:val="0"/>
      <w:adjustRightInd w:val="0"/>
      <w:spacing w:line="400" w:lineRule="exact"/>
      <w:ind w:firstLine="480" w:firstLineChars="200"/>
      <w:jc w:val="both"/>
      <w:outlineLvl w:val="9"/>
    </w:pPr>
    <w:rPr>
      <w:rFonts w:ascii="Times New Roman" w:hAnsi="Times New Roman" w:eastAsia="SimSun" w:cs="Times New Roman"/>
      <w:kern w:val="2"/>
      <w:sz w:val="24"/>
      <w:szCs w:val="24"/>
    </w:rPr>
  </w:style>
  <w:style w:type="paragraph" w:customStyle="1" w:styleId="26">
    <w:name w:val="关键词正文"/>
    <w:next w:val="1"/>
    <w:uiPriority w:val="0"/>
    <w:pPr>
      <w:widowControl w:val="0"/>
      <w:adjustRightInd w:val="0"/>
      <w:spacing w:line="400" w:lineRule="exact"/>
      <w:ind w:firstLine="0" w:firstLineChars="0"/>
      <w:jc w:val="both"/>
      <w:outlineLvl w:val="9"/>
    </w:pPr>
    <w:rPr>
      <w:rFonts w:ascii="Times New Roman" w:hAnsi="Times New Roman" w:eastAsia="SimSun" w:cs="Times New Roman"/>
      <w:kern w:val="2"/>
      <w:sz w:val="24"/>
      <w:szCs w:val="24"/>
      <w:lang w:bidi="ar-SA"/>
    </w:rPr>
  </w:style>
  <w:style w:type="character" w:customStyle="1" w:styleId="27">
    <w:name w:val="关键词"/>
    <w:qFormat/>
    <w:uiPriority w:val="0"/>
    <w:rPr>
      <w:rFonts w:ascii="Times New Roman" w:hAnsi="Times New Roman" w:eastAsia="黑体" w:cs="Times New Roman"/>
      <w:kern w:val="2"/>
      <w:sz w:val="24"/>
      <w:szCs w:val="24"/>
      <w:lang w:bidi="ar-SA"/>
    </w:rPr>
  </w:style>
  <w:style w:type="paragraph" w:customStyle="1" w:styleId="28">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29">
    <w:name w:val="参考文献条目"/>
    <w:next w:val="1"/>
    <w:qFormat/>
    <w:uiPriority w:val="0"/>
    <w:pPr>
      <w:widowControl w:val="0"/>
      <w:adjustRightInd w:val="0"/>
      <w:spacing w:line="400" w:lineRule="exact"/>
      <w:ind w:left="480" w:hanging="480" w:hangingChars="200"/>
      <w:jc w:val="both"/>
      <w:outlineLvl w:val="9"/>
    </w:pPr>
    <w:rPr>
      <w:rFonts w:ascii="Times New Roman" w:hAnsi="Times New Roman" w:eastAsia="SimSun" w:cs="Times New Roman"/>
      <w:kern w:val="0"/>
      <w:sz w:val="21"/>
      <w:szCs w:val="21"/>
    </w:rPr>
  </w:style>
  <w:style w:type="paragraph" w:customStyle="1" w:styleId="30">
    <w:name w:val="参考文献标题"/>
    <w:next w:val="1"/>
    <w:qFormat/>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31">
    <w:name w:val="表格标题"/>
    <w:next w:val="1"/>
    <w:qFormat/>
    <w:uiPriority w:val="0"/>
    <w:pPr>
      <w:widowControl w:val="0"/>
      <w:adjustRightInd w:val="0"/>
      <w:spacing w:beforeLines="50" w:afterLines="50" w:line="240" w:lineRule="auto"/>
      <w:jc w:val="center"/>
      <w:outlineLvl w:val="9"/>
    </w:pPr>
    <w:rPr>
      <w:rFonts w:ascii="Times New Roman" w:hAnsi="Times New Roman" w:eastAsia="SimSun" w:cs="Times New Roman"/>
      <w:kern w:val="2"/>
      <w:sz w:val="21"/>
      <w:szCs w:val="21"/>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2463</Words>
  <Characters>2804</Characters>
  <Lines>0</Lines>
  <Paragraphs>0</Paragraphs>
  <TotalTime>0</TotalTime>
  <ScaleCrop>false</ScaleCrop>
  <LinksUpToDate>false</LinksUpToDate>
  <CharactersWithSpaces>2877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2026-05-22T02:20:00Z</dcterms:created>
  <dc:creator>酒空人散</dc:creator>
  <cp:lastModifiedBy>酒空人散</cp:lastModifiedBy>
  <dcterms:modified xsi:type="dcterms:W3CDTF">2026-06-04T01:34:54Z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A08E011E31264FEC82944CF36E820870_13</vt:lpwstr>
  </property>
  <property fmtid="{D5CDD505-2E9C-101B-9397-08002B2CF9AE}" pid="4" name="KSOTemplateDocerSaveRecord">
    <vt:lpwstr>eyJoZGlkIjoiNTI0M2I3NDUxNTUwNjQ4YTcwMWZhOGQwNjhlYWU5YmUiLCJ1c2VySWQiOiI1NTgzODkxMjUifQ==</vt:lpwstr>
  </property>
</Properties>
</file>