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15BD725E" w:rsidR="00406211" w:rsidRPr="00CD2B41" w:rsidRDefault="00406211" w:rsidP="00406211">
      <w:pPr>
        <w:jc w:val="center"/>
        <w:rPr>
          <w:sz w:val="15"/>
          <w:szCs w:val="15"/>
        </w:rPr>
      </w:pPr>
      <w:r w:rsidRPr="00CD2B41">
        <w:rPr>
          <w:sz w:val="36"/>
          <w:szCs w:val="36"/>
        </w:rPr>
        <w:t>Optimizing Wine Preferences with Machine Learning (working title…)</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w:t>
      </w:r>
      <w:proofErr w:type="spellStart"/>
      <w:r>
        <w:rPr>
          <w:sz w:val="20"/>
          <w:szCs w:val="20"/>
        </w:rPr>
        <w:t>Zixiao</w:t>
      </w:r>
      <w:proofErr w:type="spellEnd"/>
      <w:r>
        <w:rPr>
          <w:sz w:val="20"/>
          <w:szCs w:val="20"/>
        </w:rPr>
        <w:t xml:space="preserve"> Chen (zc2194), Stanley </w:t>
      </w:r>
      <w:proofErr w:type="spellStart"/>
      <w:r>
        <w:rPr>
          <w:sz w:val="20"/>
          <w:szCs w:val="20"/>
        </w:rPr>
        <w:t>Sukanto</w:t>
      </w:r>
      <w:proofErr w:type="spellEnd"/>
      <w:r>
        <w:rPr>
          <w:sz w:val="20"/>
          <w:szCs w:val="20"/>
        </w:rPr>
        <w:t xml:space="preserve"> (ss14358), David </w:t>
      </w:r>
      <w:proofErr w:type="spellStart"/>
      <w:r>
        <w:rPr>
          <w:sz w:val="20"/>
          <w:szCs w:val="20"/>
        </w:rPr>
        <w:t>Trakhtenberg</w:t>
      </w:r>
      <w:proofErr w:type="spellEnd"/>
      <w:r>
        <w:rPr>
          <w:sz w:val="20"/>
          <w:szCs w:val="20"/>
        </w:rPr>
        <w:t xml:space="preserve"> (dt2229)</w:t>
      </w:r>
    </w:p>
    <w:p w14:paraId="49149564" w14:textId="55B874CE" w:rsidR="00406211" w:rsidRDefault="00406211" w:rsidP="00406211">
      <w:pPr>
        <w:jc w:val="center"/>
        <w:rPr>
          <w:i/>
          <w:iCs/>
          <w:sz w:val="20"/>
          <w:szCs w:val="20"/>
        </w:rPr>
      </w:pPr>
      <w:r>
        <w:rPr>
          <w:i/>
          <w:iCs/>
          <w:sz w:val="20"/>
          <w:szCs w:val="20"/>
        </w:rPr>
        <w:t>Center for Data Science | New York University</w:t>
      </w:r>
    </w:p>
    <w:p w14:paraId="587C18A6" w14:textId="77777777" w:rsidR="00406211" w:rsidRDefault="00406211" w:rsidP="00406211">
      <w:pPr>
        <w:jc w:val="center"/>
        <w:rPr>
          <w:i/>
          <w:iCs/>
          <w:sz w:val="20"/>
          <w:szCs w:val="20"/>
        </w:rPr>
      </w:pP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7C97952D"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these properties on a wine’s quality score and to be able to predict a wine’s score given its properties.</w:t>
      </w:r>
    </w:p>
    <w:p w14:paraId="774047E2"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supervised learning model. Moreover, a machine learning solution may help test if wine assessors in training are scoring wine on par with the model. Finally, this paper 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5EFBFE58"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physicochemical properties and evaluation scores. With </w:t>
      </w:r>
      <w:r w:rsidRPr="00CD2B41">
        <w:rPr>
          <w:rFonts w:eastAsiaTheme="minorHAnsi"/>
          <w:sz w:val="20"/>
          <w:szCs w:val="20"/>
        </w:rPr>
        <w:lastRenderedPageBreak/>
        <w:t xml:space="preserve">technological increases in the wine industry, these properties are increasingly feasible to measure.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743F72ED"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wine datasets have 1,599 and 4,898 rows, respectively. Each row represents a distinct wine therefore the observations are independent. There are 12 variables in each dataset: 11 </w:t>
      </w:r>
      <w:r w:rsidRPr="00CD2B41">
        <w:rPr>
          <w:rFonts w:eastAsiaTheme="minorHAnsi"/>
          <w:sz w:val="20"/>
          <w:szCs w:val="20"/>
        </w:rPr>
        <w:t>attributes describing the wines’ physicochemical properties and one target variable, quality (score from 0 to 10)</w:t>
      </w:r>
      <w:r>
        <w:rPr>
          <w:sz w:val="20"/>
          <w:szCs w:val="20"/>
        </w:rPr>
        <w:t>. The 11 features are described in detail in the appendix</w:t>
      </w:r>
      <w:r w:rsidR="001E38C6">
        <w:rPr>
          <w:sz w:val="20"/>
          <w:szCs w:val="20"/>
        </w:rPr>
        <w:t xml:space="preserve"> (“Dataset features”)</w:t>
      </w:r>
      <w:r w:rsidRPr="00CD2B41">
        <w:rPr>
          <w:rFonts w:eastAsiaTheme="minorHAnsi"/>
          <w:sz w:val="20"/>
          <w:szCs w:val="20"/>
        </w:rPr>
        <w:t>.</w:t>
      </w:r>
      <w:r w:rsidRPr="001E38C6">
        <w:rPr>
          <w:rFonts w:eastAsiaTheme="minorHAnsi"/>
          <w:sz w:val="20"/>
          <w:szCs w:val="20"/>
        </w:rPr>
        <w:t xml:space="preserve"> </w:t>
      </w:r>
    </w:p>
    <w:p w14:paraId="2C4491DE" w14:textId="6F79009D" w:rsidR="001E38C6" w:rsidRDefault="001E38C6" w:rsidP="00CD2B41">
      <w:pPr>
        <w:spacing w:line="480" w:lineRule="auto"/>
        <w:ind w:firstLine="360"/>
        <w:rPr>
          <w:sz w:val="20"/>
          <w:szCs w:val="20"/>
        </w:rPr>
      </w:pPr>
      <w:r w:rsidRPr="001E38C6">
        <w:rPr>
          <w:rFonts w:eastAsiaTheme="minorHAnsi"/>
          <w:sz w:val="20"/>
          <w:szCs w:val="20"/>
        </w:rPr>
        <w:t xml:space="preserve">Before any data preparation or model building, we conducted exploratory data analysis (EDA) and visualized relevant results. We first analyzed the descriptive statistics of both red wine and white wine datasets, </w:t>
      </w:r>
      <w:r>
        <w:rPr>
          <w:sz w:val="20"/>
          <w:szCs w:val="20"/>
        </w:rPr>
        <w:t>and</w:t>
      </w:r>
      <w:r w:rsidRPr="001E38C6">
        <w:rPr>
          <w:rFonts w:eastAsiaTheme="minorHAnsi"/>
          <w:sz w:val="20"/>
          <w:szCs w:val="20"/>
        </w:rPr>
        <w:t xml:space="preserve"> </w:t>
      </w:r>
      <w:r>
        <w:rPr>
          <w:sz w:val="20"/>
          <w:szCs w:val="20"/>
        </w:rPr>
        <w:t>then analyzed</w:t>
      </w:r>
      <w:r w:rsidRPr="001E38C6">
        <w:rPr>
          <w:rFonts w:eastAsiaTheme="minorHAnsi"/>
          <w:sz w:val="20"/>
          <w:szCs w:val="20"/>
        </w:rPr>
        <w:t xml:space="preserve"> the correlation between each attribute and the target variable.</w:t>
      </w:r>
      <w:r>
        <w:rPr>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Pr>
          <w:sz w:val="20"/>
          <w:szCs w:val="20"/>
        </w:rPr>
        <w:t xml:space="preserve"> (see appendix, “Correlation heat maps”)</w:t>
      </w:r>
      <w:r w:rsidRPr="001E38C6">
        <w:rPr>
          <w:rFonts w:eastAsiaTheme="minorHAnsi"/>
          <w:sz w:val="20"/>
          <w:szCs w:val="20"/>
        </w:rPr>
        <w:t>.</w:t>
      </w:r>
    </w:p>
    <w:p w14:paraId="4DAF1182" w14:textId="4724B6F8"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We also analyzed </w:t>
      </w:r>
      <w:r w:rsidR="00590ADA">
        <w:rPr>
          <w:sz w:val="20"/>
          <w:szCs w:val="20"/>
        </w:rPr>
        <w:t>feature importance</w:t>
      </w:r>
      <w:r w:rsidRPr="001E38C6">
        <w:rPr>
          <w:rFonts w:eastAsiaTheme="minorHAnsi"/>
          <w:sz w:val="20"/>
          <w:szCs w:val="20"/>
        </w:rPr>
        <w:t xml:space="preserve"> and listed the top five features </w:t>
      </w:r>
      <w:r w:rsidRPr="001E38C6">
        <w:rPr>
          <w:sz w:val="20"/>
          <w:szCs w:val="20"/>
        </w:rPr>
        <w:t>in regard to</w:t>
      </w:r>
      <w:r w:rsidRPr="001E38C6">
        <w:rPr>
          <w:rFonts w:eastAsiaTheme="minorHAnsi"/>
          <w:sz w:val="20"/>
          <w:szCs w:val="20"/>
        </w:rPr>
        <w:t xml:space="preserve"> both Area under the Receiver Operator Curve (AUC) and Mutual Information (MI)</w:t>
      </w:r>
      <w:r w:rsidR="00590ADA">
        <w:rPr>
          <w:sz w:val="20"/>
          <w:szCs w:val="20"/>
        </w:rPr>
        <w:t xml:space="preserve"> (see appendix, “Feature Importance”)</w:t>
      </w:r>
      <w:r w:rsidRPr="001E38C6">
        <w:rPr>
          <w:rFonts w:eastAsiaTheme="minorHAnsi"/>
          <w:sz w:val="20"/>
          <w:szCs w:val="20"/>
        </w:rPr>
        <w:t>.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A wine maker using the results of this simple exploratory analysis may opt to increase alcohol content, holding all else equal, in an effort to make higher quality wine.</w:t>
      </w:r>
    </w:p>
    <w:p w14:paraId="503F7600" w14:textId="7777777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lastRenderedPageBreak/>
        <w:t>Clustering, an unsupervised learning technique, served as a useful approach to understand the similarity of the wines in the dataset. Red wines and white wines were clustered separately using both hierarchical clustering and k-means clustering. For this 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31F8F2AF"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As shown in the appendix</w:t>
      </w:r>
      <w:r>
        <w:rPr>
          <w:sz w:val="20"/>
          <w:szCs w:val="20"/>
        </w:rPr>
        <w:t xml:space="preserve"> (“Clustering”)</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720C9D49" w14:textId="105E24DF" w:rsidR="001E38C6" w:rsidRPr="00BA05AA" w:rsidRDefault="001E38C6" w:rsidP="00BA05AA">
      <w:pPr>
        <w:spacing w:line="480" w:lineRule="auto"/>
        <w:ind w:firstLine="360"/>
        <w:rPr>
          <w:rFonts w:eastAsiaTheme="minorEastAsia"/>
          <w:sz w:val="20"/>
          <w:szCs w:val="20"/>
        </w:rPr>
      </w:pPr>
      <w:r w:rsidRPr="001E38C6">
        <w:rPr>
          <w:rFonts w:eastAsiaTheme="minorHAnsi"/>
          <w:sz w:val="20"/>
          <w:szCs w:val="20"/>
        </w:rPr>
        <w:t>With a stronger domain knowledge of the features, we then examined feature independence, a necessary assumption for 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 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The table </w:t>
      </w:r>
      <w:r w:rsidR="00BA05AA">
        <w:rPr>
          <w:sz w:val="20"/>
          <w:szCs w:val="20"/>
        </w:rPr>
        <w:t>in the appendix (“VIF”)</w:t>
      </w:r>
      <w:r w:rsidRPr="001E38C6">
        <w:rPr>
          <w:rFonts w:eastAsiaTheme="minorHAnsi"/>
          <w:sz w:val="20"/>
          <w:szCs w:val="20"/>
        </w:rPr>
        <w:t xml:space="preserve"> shows the VIF of the independent variables that have been standardized and transformed.</w:t>
      </w:r>
    </w:p>
    <w:p w14:paraId="2F7034CD" w14:textId="0C92E273"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 </w:t>
      </w:r>
    </w:p>
    <w:p w14:paraId="245382C5" w14:textId="74033CA0"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For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0021663E" w:rsidR="00CD2B41" w:rsidRDefault="001E38C6" w:rsidP="00BA05AA">
      <w:pPr>
        <w:spacing w:line="480" w:lineRule="auto"/>
        <w:ind w:firstLine="360"/>
        <w:rPr>
          <w:sz w:val="20"/>
          <w:szCs w:val="20"/>
        </w:rPr>
      </w:pPr>
      <w:r w:rsidRPr="001E38C6">
        <w:rPr>
          <w:rFonts w:eastAsiaTheme="minorHAnsi"/>
          <w:sz w:val="20"/>
          <w:szCs w:val="20"/>
        </w:rPr>
        <w:t>Since our goal was only to correctly predict the quality of wine given the wine features, the presence of multicollinearity was not a huge problem as we are not concerned with performing statistical inferences on the model (e.g., estimating individual feature importance). A 5-fold cross-validation was 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lastRenderedPageBreak/>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4A86922D" w14:textId="23B8DDB6" w:rsidR="00BA05AA" w:rsidRDefault="00BA05AA" w:rsidP="00BA05AA">
      <w:pPr>
        <w:spacing w:line="480" w:lineRule="auto"/>
        <w:ind w:firstLine="360"/>
        <w:rPr>
          <w:sz w:val="20"/>
          <w:szCs w:val="20"/>
        </w:rPr>
      </w:pPr>
      <w:r w:rsidRPr="00BA05AA">
        <w:rPr>
          <w:rFonts w:eastAsiaTheme="minorHAnsi"/>
          <w:sz w:val="20"/>
          <w:szCs w:val="20"/>
        </w:rPr>
        <w:t>A first consideration involved whether to combine the red and white wine datasets into one.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 The target variable is defined as the quality of each wine, scored by wine assessors on a scale from 0 (very bad) to 10 (excellent).</w:t>
      </w:r>
    </w:p>
    <w:p w14:paraId="2BF56C41" w14:textId="522F496A" w:rsidR="00BA05AA" w:rsidRDefault="00BA05AA" w:rsidP="00BA05AA">
      <w:pPr>
        <w:spacing w:line="480" w:lineRule="auto"/>
        <w:ind w:firstLine="360"/>
        <w:rPr>
          <w:sz w:val="20"/>
          <w:szCs w:val="20"/>
        </w:rPr>
      </w:pPr>
      <w:r w:rsidRPr="00BA05AA">
        <w:rPr>
          <w:rFonts w:eastAsiaTheme="minorHAnsi"/>
          <w:sz w:val="20"/>
          <w:szCs w:val="20"/>
        </w:rPr>
        <w:t xml:space="preserve">We then decided to frame this business problem as a binary classification example. Instead of developing a system to </w:t>
      </w:r>
      <w:r w:rsidRPr="00BA05AA">
        <w:rPr>
          <w:rFonts w:eastAsiaTheme="minorHAnsi"/>
          <w:sz w:val="20"/>
          <w:szCs w:val="20"/>
        </w:rPr>
        <w:t xml:space="preserve">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Pr="00BA05AA">
        <w:rPr>
          <w:rFonts w:eastAsiaTheme="minorHAnsi"/>
          <w:sz w:val="20"/>
          <w:szCs w:val="20"/>
        </w:rPr>
        <w:fldChar w:fldCharType="begin"/>
      </w:r>
      <w:r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Pr="00BA05AA">
        <w:rPr>
          <w:rFonts w:eastAsiaTheme="minorHAnsi"/>
          <w:sz w:val="20"/>
          <w:szCs w:val="20"/>
        </w:rPr>
        <w:fldChar w:fldCharType="separate"/>
      </w:r>
      <w:r w:rsidRPr="00BA05AA">
        <w:rPr>
          <w:rFonts w:eastAsiaTheme="minorHAnsi"/>
          <w:noProof/>
          <w:sz w:val="20"/>
          <w:szCs w:val="20"/>
        </w:rPr>
        <w:drawing>
          <wp:inline distT="0" distB="0" distL="0" distR="0" wp14:anchorId="4B335CCF" wp14:editId="2A461EB6">
            <wp:extent cx="2787015" cy="2027951"/>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7015" cy="2027951"/>
                    </a:xfrm>
                    <a:prstGeom prst="rect">
                      <a:avLst/>
                    </a:prstGeom>
                    <a:noFill/>
                    <a:ln>
                      <a:noFill/>
                    </a:ln>
                  </pic:spPr>
                </pic:pic>
              </a:graphicData>
            </a:graphic>
          </wp:inline>
        </w:drawing>
      </w:r>
      <w:r w:rsidRPr="00BA05AA">
        <w:rPr>
          <w:rFonts w:eastAsiaTheme="minorHAnsi"/>
          <w:sz w:val="20"/>
          <w:szCs w:val="20"/>
        </w:rPr>
        <w:fldChar w:fldCharType="end"/>
      </w:r>
      <w:r w:rsidRPr="00BA05AA">
        <w:rPr>
          <w:rFonts w:eastAsiaTheme="minorHAnsi"/>
          <w:sz w:val="20"/>
          <w:szCs w:val="20"/>
        </w:rPr>
        <w:fldChar w:fldCharType="begin"/>
      </w:r>
      <w:r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Pr="00BA05AA">
        <w:rPr>
          <w:rFonts w:eastAsiaTheme="minorHAnsi"/>
          <w:sz w:val="20"/>
          <w:szCs w:val="20"/>
        </w:rPr>
        <w:fldChar w:fldCharType="separate"/>
      </w:r>
      <w:r w:rsidRPr="00BA05AA">
        <w:rPr>
          <w:rFonts w:eastAsiaTheme="minorHAnsi"/>
          <w:noProof/>
          <w:sz w:val="20"/>
          <w:szCs w:val="20"/>
        </w:rPr>
        <w:drawing>
          <wp:inline distT="0" distB="0" distL="0" distR="0" wp14:anchorId="496E10C8" wp14:editId="45E7311A">
            <wp:extent cx="2787161" cy="2003728"/>
            <wp:effectExtent l="0" t="0" r="0" b="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4879" cy="2023655"/>
                    </a:xfrm>
                    <a:prstGeom prst="rect">
                      <a:avLst/>
                    </a:prstGeom>
                    <a:noFill/>
                    <a:ln>
                      <a:noFill/>
                    </a:ln>
                  </pic:spPr>
                </pic:pic>
              </a:graphicData>
            </a:graphic>
          </wp:inline>
        </w:drawing>
      </w:r>
      <w:r w:rsidRPr="00BA05AA">
        <w:rPr>
          <w:rFonts w:eastAsiaTheme="minorHAnsi"/>
          <w:sz w:val="20"/>
          <w:szCs w:val="20"/>
        </w:rPr>
        <w:fldChar w:fldCharType="end"/>
      </w:r>
      <w:r w:rsidRPr="00BA05AA">
        <w:rPr>
          <w:rFonts w:eastAsiaTheme="minorHAnsi"/>
          <w:sz w:val="20"/>
          <w:szCs w:val="20"/>
        </w:rPr>
        <w:t>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or equal to 7 to be a good wine (binary class 1). 14% of reds and 22% of white wines are then coded as “good”.</w:t>
      </w:r>
    </w:p>
    <w:p w14:paraId="7822AE36" w14:textId="0CF7E95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largely skewed distribution, primarily to the right. This mainly is due to the chemical nature of the features. With residual sugar, for example, wine has varying levels of </w:t>
      </w:r>
      <w:r w:rsidRPr="00BA05AA">
        <w:rPr>
          <w:rFonts w:eastAsiaTheme="minorHAnsi"/>
          <w:sz w:val="20"/>
          <w:szCs w:val="20"/>
        </w:rPr>
        <w:lastRenderedPageBreak/>
        <w:t xml:space="preserve">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analysis, a log transform of alcohol, residual sugar, and free sulfur dioxide remedies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77777777" w:rsidR="00C013D6" w:rsidRDefault="00C013D6" w:rsidP="00C013D6">
      <w:pPr>
        <w:spacing w:line="480" w:lineRule="auto"/>
        <w:ind w:firstLine="360"/>
        <w:rPr>
          <w:rFonts w:eastAsiaTheme="minorHAnsi"/>
          <w:sz w:val="20"/>
          <w:szCs w:val="20"/>
        </w:rPr>
      </w:pPr>
      <w:r w:rsidRPr="00C013D6">
        <w:rPr>
          <w:rFonts w:eastAsiaTheme="minorHAnsi"/>
          <w:sz w:val="20"/>
          <w:szCs w:val="20"/>
        </w:rPr>
        <w:t>By framing this business scenario as a binary classification problem instead of a regression problem, we enabled the use of a number of additional classification algorithms. Given the relatively small size of the data, we were not terribly constrained by computational time to train, test, tune, and retest a number of algorithms. With that in mind, we elected initially to test random forest (RF), logistic regression (LR), Gaussian naive Bayes (GNB), a support vector machine (SVM), and K-</w:t>
      </w:r>
      <w:r w:rsidRPr="00C013D6">
        <w:rPr>
          <w:rFonts w:eastAsiaTheme="minorHAnsi"/>
          <w:sz w:val="20"/>
          <w:szCs w:val="20"/>
        </w:rPr>
        <w:t>nearest neighbor (K-NN) classifiers. We also separately evaluated the performance of gradient-boosting a decision tree.</w:t>
      </w:r>
    </w:p>
    <w:p w14:paraId="6D88D898" w14:textId="2D611EB0" w:rsidR="00C013D6" w:rsidRPr="00C013D6" w:rsidRDefault="00C013D6" w:rsidP="00C013D6">
      <w:pPr>
        <w:spacing w:line="480" w:lineRule="auto"/>
        <w:ind w:firstLine="360"/>
        <w:rPr>
          <w:rFonts w:eastAsiaTheme="minorHAnsi"/>
          <w:sz w:val="20"/>
          <w:szCs w:val="20"/>
        </w:rPr>
      </w:pPr>
      <w:r w:rsidRPr="00C013D6">
        <w:rPr>
          <w:rFonts w:eastAsiaTheme="minorHAnsi"/>
          <w:sz w:val="20"/>
          <w:szCs w:val="20"/>
        </w:rPr>
        <w:t>We considered the assumptions, benefits, and possible issues with each algorithm. For example, random forests are extremely robust models that perform well in many situations and do not make many assumptions about the underlying data distribution; however, training time may be slow (as is the case for Support Vector Machines). Logistic regression is proven to smoothly handle class imbalance and small datasets but requires little multicollinearity and a linear relationship between the logit of 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77777777" w:rsidR="00C013D6" w:rsidRPr="00C013D6" w:rsidRDefault="00C013D6" w:rsidP="00C013D6">
      <w:pPr>
        <w:spacing w:line="480" w:lineRule="auto"/>
        <w:ind w:firstLine="360"/>
        <w:rPr>
          <w:rFonts w:eastAsiaTheme="minorHAnsi"/>
          <w:sz w:val="20"/>
          <w:szCs w:val="20"/>
        </w:rPr>
      </w:pPr>
      <w:r w:rsidRPr="00C013D6">
        <w:rPr>
          <w:rFonts w:eastAsiaTheme="minorHAnsi"/>
          <w:sz w:val="20"/>
          <w:szCs w:val="20"/>
        </w:rPr>
        <w:t>Before training or evaluating any models, choosing an appropriate evaluation metric was necessary. Accuracy is not appropriate in this case due to the target class imbalance. We ultimately selected AUC for the following reasons:</w:t>
      </w:r>
    </w:p>
    <w:p w14:paraId="406C4DCD" w14:textId="15F18505" w:rsidR="00C013D6" w:rsidRPr="00C013D6" w:rsidRDefault="00C013D6" w:rsidP="00C013D6">
      <w:pPr>
        <w:spacing w:line="480" w:lineRule="auto"/>
        <w:ind w:firstLine="360"/>
        <w:rPr>
          <w:rFonts w:eastAsiaTheme="minorHAnsi"/>
          <w:sz w:val="20"/>
          <w:szCs w:val="20"/>
        </w:rPr>
        <w:sectPr w:rsidR="00C013D6" w:rsidRPr="00C013D6" w:rsidSect="00C013D6">
          <w:type w:val="continuous"/>
          <w:pgSz w:w="11894" w:h="16819"/>
          <w:pgMar w:top="720" w:right="720" w:bottom="720" w:left="720" w:header="720" w:footer="720" w:gutter="0"/>
          <w:cols w:num="2" w:space="144"/>
          <w:docGrid w:linePitch="360"/>
        </w:sectPr>
      </w:pPr>
    </w:p>
    <w:p w14:paraId="2A089DEC" w14:textId="47C3DFC4" w:rsidR="00C013D6" w:rsidRDefault="00C013D6" w:rsidP="00C013D6"/>
    <w:p w14:paraId="7A7F78C5" w14:textId="77777777" w:rsidR="00C013D6" w:rsidRPr="00BA05AA" w:rsidRDefault="00C013D6" w:rsidP="00C013D6">
      <w:pPr>
        <w:spacing w:line="480" w:lineRule="auto"/>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id w:val="-1585904420"/>
        <w:docPartObj>
          <w:docPartGallery w:val="Bibliographies"/>
          <w:docPartUnique/>
        </w:docPartObj>
      </w:sdtPr>
      <w:sdtEndPr>
        <w:rPr>
          <w:rFonts w:ascii="Times New Roman" w:eastAsia="Times New Roman" w:hAnsi="Times New Roman" w:cs="Times New Roman"/>
          <w:color w:val="auto"/>
          <w:sz w:val="24"/>
          <w:szCs w:val="24"/>
        </w:rPr>
      </w:sdtEnd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7A7D8567" w14:textId="77777777" w:rsidR="00AC5082" w:rsidRPr="00AC5082" w:rsidRDefault="00AC5082" w:rsidP="00AC5082">
              <w:pPr>
                <w:pStyle w:val="Bibliography"/>
                <w:ind w:left="720" w:hanging="720"/>
                <w:rPr>
                  <w:noProof/>
                  <w:sz w:val="20"/>
                  <w:szCs w:val="20"/>
                </w:rPr>
              </w:pPr>
              <w:r w:rsidRPr="00AC5082">
                <w:rPr>
                  <w:sz w:val="20"/>
                  <w:szCs w:val="20"/>
                </w:rPr>
                <w:fldChar w:fldCharType="begin"/>
              </w:r>
              <w:r w:rsidRPr="00AC5082">
                <w:rPr>
                  <w:sz w:val="20"/>
                  <w:szCs w:val="20"/>
                </w:rPr>
                <w:instrText xml:space="preserve"> BIBLIOGRAPHY </w:instrText>
              </w:r>
              <w:r w:rsidRPr="00AC5082">
                <w:rPr>
                  <w:sz w:val="20"/>
                  <w:szCs w:val="20"/>
                </w:rPr>
                <w:fldChar w:fldCharType="separate"/>
              </w:r>
              <w:r w:rsidRPr="00AC5082">
                <w:rPr>
                  <w:noProof/>
                  <w:sz w:val="20"/>
                  <w:szCs w:val="20"/>
                </w:rPr>
                <w:t xml:space="preserve">Cortez, Paulo, et al. "Modeling wine preferences by data mining from physicochemical properties." </w:t>
              </w:r>
              <w:r w:rsidRPr="00AC5082">
                <w:rPr>
                  <w:i/>
                  <w:iCs/>
                  <w:noProof/>
                  <w:sz w:val="20"/>
                  <w:szCs w:val="20"/>
                </w:rPr>
                <w:t>Decision Support Systems</w:t>
              </w:r>
              <w:r w:rsidRPr="00AC5082">
                <w:rPr>
                  <w:noProof/>
                  <w:sz w:val="20"/>
                  <w:szCs w:val="20"/>
                </w:rPr>
                <w:t xml:space="preserve"> (2009): 4800-058.</w:t>
              </w:r>
            </w:p>
            <w:p w14:paraId="3C73BCE0" w14:textId="77777777" w:rsidR="00AC5082" w:rsidRPr="00AC5082" w:rsidRDefault="00AC5082" w:rsidP="00AC5082">
              <w:pPr>
                <w:pStyle w:val="Bibliography"/>
                <w:ind w:left="720" w:hanging="720"/>
                <w:rPr>
                  <w:noProof/>
                  <w:sz w:val="20"/>
                  <w:szCs w:val="20"/>
                </w:rPr>
              </w:pPr>
              <w:r w:rsidRPr="00AC5082">
                <w:rPr>
                  <w:noProof/>
                  <w:sz w:val="20"/>
                  <w:szCs w:val="20"/>
                </w:rPr>
                <w:t xml:space="preserve">de Castilhosa, Maurício, et al. "Influence of two different vinification procedures on the physicochemical and sensory properties of Brazilian non-Vitis vinifera red wines." </w:t>
              </w:r>
              <w:r w:rsidRPr="00AC5082">
                <w:rPr>
                  <w:i/>
                  <w:iCs/>
                  <w:noProof/>
                  <w:sz w:val="20"/>
                  <w:szCs w:val="20"/>
                </w:rPr>
                <w:t>LWT - Food Science and Technology</w:t>
              </w:r>
              <w:r w:rsidRPr="00AC5082">
                <w:rPr>
                  <w:noProof/>
                  <w:sz w:val="20"/>
                  <w:szCs w:val="20"/>
                </w:rPr>
                <w:t xml:space="preserve"> (2013): 360-366.</w:t>
              </w:r>
            </w:p>
            <w:p w14:paraId="3F21C2E7" w14:textId="77777777" w:rsidR="00AC5082" w:rsidRPr="00AC5082" w:rsidRDefault="00AC5082" w:rsidP="00AC5082">
              <w:pPr>
                <w:pStyle w:val="Bibliography"/>
                <w:ind w:left="720" w:hanging="720"/>
                <w:rPr>
                  <w:noProof/>
                  <w:sz w:val="20"/>
                  <w:szCs w:val="20"/>
                </w:rPr>
              </w:pPr>
              <w:r w:rsidRPr="00AC5082">
                <w:rPr>
                  <w:noProof/>
                  <w:sz w:val="20"/>
                  <w:szCs w:val="20"/>
                </w:rPr>
                <w:t xml:space="preserve">Hopfer, Helen, et al. "Correlating Wine Quality Indicators to Chemical and Sensory Measurements ." </w:t>
              </w:r>
              <w:r w:rsidRPr="00AC5082">
                <w:rPr>
                  <w:i/>
                  <w:iCs/>
                  <w:noProof/>
                  <w:sz w:val="20"/>
                  <w:szCs w:val="20"/>
                </w:rPr>
                <w:t>Molecules</w:t>
              </w:r>
              <w:r w:rsidRPr="00AC5082">
                <w:rPr>
                  <w:noProof/>
                  <w:sz w:val="20"/>
                  <w:szCs w:val="20"/>
                </w:rPr>
                <w:t xml:space="preserve"> (2015): 8453-8483.</w:t>
              </w:r>
            </w:p>
            <w:p w14:paraId="0D3EF67B" w14:textId="77777777" w:rsidR="00AC5082" w:rsidRPr="00AC5082" w:rsidRDefault="00AC5082" w:rsidP="00AC5082">
              <w:pPr>
                <w:pStyle w:val="Bibliography"/>
                <w:ind w:left="720" w:hanging="720"/>
                <w:rPr>
                  <w:noProof/>
                  <w:sz w:val="20"/>
                  <w:szCs w:val="20"/>
                </w:rPr>
              </w:pPr>
              <w:r w:rsidRPr="00AC5082">
                <w:rPr>
                  <w:noProof/>
                  <w:sz w:val="20"/>
                  <w:szCs w:val="20"/>
                </w:rPr>
                <w:t xml:space="preserve">Provost, Foster and Tom Fawcett. </w:t>
              </w:r>
              <w:r w:rsidRPr="00AC5082">
                <w:rPr>
                  <w:i/>
                  <w:iCs/>
                  <w:noProof/>
                  <w:sz w:val="20"/>
                  <w:szCs w:val="20"/>
                </w:rPr>
                <w:t>Data Science for Business</w:t>
              </w:r>
              <w:r w:rsidRPr="00AC5082">
                <w:rPr>
                  <w:noProof/>
                  <w:sz w:val="20"/>
                  <w:szCs w:val="20"/>
                </w:rPr>
                <w:t>. O'Reilly, 2013.</w:t>
              </w:r>
            </w:p>
            <w:p w14:paraId="6E24AA22" w14:textId="6FF54129" w:rsidR="00AC5082" w:rsidRDefault="00AC5082" w:rsidP="00AC5082">
              <w:r w:rsidRPr="00AC5082">
                <w:rPr>
                  <w:b/>
                  <w:bCs/>
                  <w:noProof/>
                  <w:sz w:val="20"/>
                  <w:szCs w:val="20"/>
                </w:rPr>
                <w:fldChar w:fldCharType="end"/>
              </w:r>
            </w:p>
          </w:sdtContent>
        </w:sdt>
      </w:sdtContent>
    </w:sdt>
    <w:p w14:paraId="74FB4B4E" w14:textId="025E949A" w:rsidR="00AC5082" w:rsidRDefault="00AC5082">
      <w:pPr>
        <w:rPr>
          <w:b/>
          <w:bCs/>
        </w:rPr>
      </w:pPr>
    </w:p>
    <w:p w14:paraId="64A04552" w14:textId="457A0414" w:rsidR="007F79E3" w:rsidRPr="00CD2B41" w:rsidRDefault="00CD2B41" w:rsidP="007F79E3">
      <w:pPr>
        <w:spacing w:line="480" w:lineRule="auto"/>
        <w:rPr>
          <w:b/>
          <w:bCs/>
        </w:rPr>
      </w:pPr>
      <w:r w:rsidRPr="00CD2B41">
        <w:rPr>
          <w:b/>
          <w:bCs/>
        </w:rPr>
        <w:t>Appendix:</w:t>
      </w:r>
    </w:p>
    <w:p w14:paraId="72D068AA" w14:textId="74AEAC22" w:rsidR="00406211" w:rsidRDefault="00CD2B41" w:rsidP="00406211">
      <w:pPr>
        <w:rPr>
          <w:b/>
          <w:bCs/>
          <w:sz w:val="20"/>
          <w:szCs w:val="20"/>
        </w:rPr>
      </w:pPr>
      <w:r>
        <w:rPr>
          <w:b/>
          <w:bCs/>
          <w:sz w:val="20"/>
          <w:szCs w:val="20"/>
        </w:rPr>
        <w:t>Data Understanding:</w:t>
      </w:r>
    </w:p>
    <w:p w14:paraId="6C0E7D79" w14:textId="02F0852B" w:rsidR="00CD2B41" w:rsidRDefault="00CD2B41" w:rsidP="00406211">
      <w:pPr>
        <w:rPr>
          <w:b/>
          <w:bCs/>
          <w:sz w:val="20"/>
          <w:szCs w:val="20"/>
        </w:rPr>
      </w:pPr>
    </w:p>
    <w:p w14:paraId="60317FFC" w14:textId="5AF666EA" w:rsidR="00CD2B41" w:rsidRPr="00CD2B41" w:rsidRDefault="001E38C6" w:rsidP="00406211">
      <w:pPr>
        <w:rPr>
          <w:sz w:val="20"/>
          <w:szCs w:val="20"/>
        </w:rPr>
      </w:pPr>
      <w:r>
        <w:rPr>
          <w:sz w:val="20"/>
          <w:szCs w:val="20"/>
        </w:rPr>
        <w:t>Dataset features:</w:t>
      </w:r>
    </w:p>
    <w:p w14:paraId="2A066705" w14:textId="77777777" w:rsidR="00CD2B41" w:rsidRPr="00CD2B41" w:rsidRDefault="00CD2B41" w:rsidP="00CD2B41">
      <w:pPr>
        <w:rPr>
          <w:rFonts w:ascii="Times" w:hAnsi="Times"/>
          <w:sz w:val="20"/>
          <w:szCs w:val="20"/>
        </w:rPr>
      </w:pPr>
    </w:p>
    <w:tbl>
      <w:tblPr>
        <w:tblW w:w="10430" w:type="dxa"/>
        <w:tblCellMar>
          <w:top w:w="15" w:type="dxa"/>
          <w:left w:w="15" w:type="dxa"/>
          <w:bottom w:w="15" w:type="dxa"/>
          <w:right w:w="15" w:type="dxa"/>
        </w:tblCellMar>
        <w:tblLook w:val="04A0" w:firstRow="1" w:lastRow="0" w:firstColumn="1" w:lastColumn="0" w:noHBand="0" w:noVBand="1"/>
      </w:tblPr>
      <w:tblGrid>
        <w:gridCol w:w="1214"/>
        <w:gridCol w:w="8136"/>
        <w:gridCol w:w="1080"/>
      </w:tblGrid>
      <w:tr w:rsidR="00CD2B41" w:rsidRPr="00CD2B41" w14:paraId="1632C03B" w14:textId="77777777" w:rsidTr="00CD2B41">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FDC3" w14:textId="77777777" w:rsidR="00CD2B41" w:rsidRPr="00CD2B41" w:rsidRDefault="00CD2B41" w:rsidP="00CD2B41">
            <w:pPr>
              <w:rPr>
                <w:rFonts w:ascii="Times" w:hAnsi="Times"/>
                <w:sz w:val="20"/>
                <w:szCs w:val="20"/>
              </w:rPr>
            </w:pPr>
            <w:r w:rsidRPr="00CD2B41">
              <w:rPr>
                <w:rFonts w:ascii="Times" w:hAnsi="Times"/>
                <w:color w:val="000000"/>
                <w:sz w:val="20"/>
                <w:szCs w:val="20"/>
              </w:rPr>
              <w:t>Attribute</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5FE9B" w14:textId="77777777" w:rsidR="00CD2B41" w:rsidRPr="00CD2B41" w:rsidRDefault="00CD2B41" w:rsidP="00CD2B41">
            <w:pPr>
              <w:rPr>
                <w:rFonts w:ascii="Times" w:hAnsi="Times"/>
                <w:sz w:val="20"/>
                <w:szCs w:val="20"/>
              </w:rPr>
            </w:pPr>
            <w:r w:rsidRPr="00CD2B41">
              <w:rPr>
                <w:rFonts w:ascii="Times" w:hAnsi="Times"/>
                <w:color w:val="000000"/>
                <w:sz w:val="20"/>
                <w:szCs w:val="20"/>
              </w:rPr>
              <w:t>Description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52ED7" w14:textId="77777777" w:rsidR="00CD2B41" w:rsidRPr="00CD2B41" w:rsidRDefault="00CD2B41" w:rsidP="00CD2B41">
            <w:pPr>
              <w:rPr>
                <w:rFonts w:ascii="Times" w:hAnsi="Times"/>
                <w:sz w:val="20"/>
                <w:szCs w:val="20"/>
              </w:rPr>
            </w:pPr>
            <w:r w:rsidRPr="00CD2B41">
              <w:rPr>
                <w:rFonts w:ascii="Times" w:hAnsi="Times"/>
                <w:color w:val="000000"/>
                <w:sz w:val="20"/>
                <w:szCs w:val="20"/>
              </w:rPr>
              <w:t>Unit</w:t>
            </w:r>
          </w:p>
        </w:tc>
      </w:tr>
      <w:tr w:rsidR="00CD2B41" w:rsidRPr="00CD2B41" w14:paraId="2AC54243"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4DE8" w14:textId="77777777" w:rsidR="00CD2B41" w:rsidRPr="00CD2B41" w:rsidRDefault="00CD2B41" w:rsidP="00CD2B41">
            <w:pPr>
              <w:rPr>
                <w:rFonts w:ascii="Times" w:hAnsi="Times"/>
                <w:sz w:val="20"/>
                <w:szCs w:val="20"/>
              </w:rPr>
            </w:pPr>
            <w:r w:rsidRPr="00CD2B41">
              <w:rPr>
                <w:rFonts w:ascii="Times" w:hAnsi="Times"/>
                <w:color w:val="000000"/>
                <w:sz w:val="20"/>
                <w:szCs w:val="20"/>
              </w:rPr>
              <w:t>Fixed Acidity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9925" w14:textId="77777777" w:rsidR="00CD2B41" w:rsidRPr="00CD2B41" w:rsidRDefault="00CD2B41" w:rsidP="00CD2B41">
            <w:pPr>
              <w:rPr>
                <w:rFonts w:ascii="Times" w:hAnsi="Times"/>
                <w:sz w:val="20"/>
                <w:szCs w:val="20"/>
              </w:rPr>
            </w:pPr>
            <w:r w:rsidRPr="00CD2B41">
              <w:rPr>
                <w:rFonts w:ascii="Times" w:hAnsi="Times"/>
                <w:color w:val="000000"/>
                <w:sz w:val="20"/>
                <w:szCs w:val="20"/>
              </w:rPr>
              <w:t>Acids enhance the fundamental tastes in wine, such as sourness and tartness. Most acids in wine are fixed acids.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EE71" w14:textId="77777777" w:rsidR="00CD2B41" w:rsidRPr="00CD2B41" w:rsidRDefault="00CD2B41" w:rsidP="00CD2B41">
            <w:pPr>
              <w:rPr>
                <w:rFonts w:ascii="Times" w:hAnsi="Times"/>
                <w:sz w:val="20"/>
                <w:szCs w:val="20"/>
              </w:rPr>
            </w:pPr>
            <w:r w:rsidRPr="00CD2B41">
              <w:rPr>
                <w:rFonts w:ascii="Times" w:hAnsi="Times"/>
                <w:color w:val="000000"/>
                <w:sz w:val="20"/>
                <w:szCs w:val="20"/>
              </w:rPr>
              <w:t>mg/L</w:t>
            </w:r>
          </w:p>
        </w:tc>
      </w:tr>
      <w:tr w:rsidR="00CD2B41" w:rsidRPr="00CD2B41" w14:paraId="4075FE2F"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BDCAE" w14:textId="77777777" w:rsidR="00CD2B41" w:rsidRPr="00CD2B41" w:rsidRDefault="00CD2B41" w:rsidP="00CD2B41">
            <w:pPr>
              <w:rPr>
                <w:rFonts w:ascii="Times" w:hAnsi="Times"/>
                <w:sz w:val="20"/>
                <w:szCs w:val="20"/>
              </w:rPr>
            </w:pPr>
            <w:r w:rsidRPr="00CD2B41">
              <w:rPr>
                <w:rFonts w:ascii="Times" w:hAnsi="Times"/>
                <w:color w:val="000000"/>
                <w:sz w:val="20"/>
                <w:szCs w:val="20"/>
              </w:rPr>
              <w:t>Volatile Acidity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DDEF8" w14:textId="77777777" w:rsidR="00CD2B41" w:rsidRPr="00CD2B41" w:rsidRDefault="00CD2B41" w:rsidP="00CD2B41">
            <w:pPr>
              <w:rPr>
                <w:rFonts w:ascii="Times" w:hAnsi="Times"/>
                <w:sz w:val="20"/>
                <w:szCs w:val="20"/>
              </w:rPr>
            </w:pPr>
            <w:r w:rsidRPr="00CD2B41">
              <w:rPr>
                <w:rFonts w:ascii="Times" w:hAnsi="Times"/>
                <w:color w:val="000000"/>
                <w:sz w:val="20"/>
                <w:szCs w:val="20"/>
              </w:rPr>
              <w:t>The steam distillable acids in wine. Usually kept at low level to avoid undesirable aromas.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FAF53"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138C9C88"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534A8" w14:textId="77777777" w:rsidR="00CD2B41" w:rsidRPr="00CD2B41" w:rsidRDefault="00CD2B41" w:rsidP="00CD2B41">
            <w:pPr>
              <w:rPr>
                <w:rFonts w:ascii="Times" w:hAnsi="Times"/>
                <w:sz w:val="20"/>
                <w:szCs w:val="20"/>
              </w:rPr>
            </w:pPr>
            <w:r w:rsidRPr="00CD2B41">
              <w:rPr>
                <w:rFonts w:ascii="Times" w:hAnsi="Times"/>
                <w:color w:val="000000"/>
                <w:sz w:val="20"/>
                <w:szCs w:val="20"/>
              </w:rPr>
              <w:t>Citric Acid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D3DF" w14:textId="77777777" w:rsidR="00CD2B41" w:rsidRPr="00CD2B41" w:rsidRDefault="00CD2B41" w:rsidP="00CD2B41">
            <w:pPr>
              <w:rPr>
                <w:rFonts w:ascii="Times" w:hAnsi="Times"/>
                <w:sz w:val="20"/>
                <w:szCs w:val="20"/>
              </w:rPr>
            </w:pPr>
            <w:r w:rsidRPr="00CD2B41">
              <w:rPr>
                <w:rFonts w:ascii="Times" w:hAnsi="Times"/>
                <w:color w:val="000000"/>
                <w:sz w:val="20"/>
                <w:szCs w:val="20"/>
              </w:rPr>
              <w:t>A less common acid in wine. Used for stabilization purposes to prevent ferric hazes and should be kept below 1 g/L.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9C662"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08EB71FE" w14:textId="77777777" w:rsidTr="00CD2B41">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DDBDC" w14:textId="77777777" w:rsidR="00CD2B41" w:rsidRPr="00CD2B41" w:rsidRDefault="00CD2B41" w:rsidP="00CD2B41">
            <w:pPr>
              <w:rPr>
                <w:rFonts w:ascii="Times" w:hAnsi="Times"/>
                <w:sz w:val="20"/>
                <w:szCs w:val="20"/>
              </w:rPr>
            </w:pPr>
            <w:r w:rsidRPr="00CD2B41">
              <w:rPr>
                <w:rFonts w:ascii="Times" w:hAnsi="Times"/>
                <w:color w:val="000000"/>
                <w:sz w:val="20"/>
                <w:szCs w:val="20"/>
              </w:rPr>
              <w:t>Residual Sugar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84137" w14:textId="77777777" w:rsidR="00CD2B41" w:rsidRPr="00CD2B41" w:rsidRDefault="00CD2B41" w:rsidP="00CD2B41">
            <w:pPr>
              <w:rPr>
                <w:rFonts w:ascii="Times" w:hAnsi="Times"/>
                <w:sz w:val="20"/>
                <w:szCs w:val="20"/>
              </w:rPr>
            </w:pPr>
            <w:r w:rsidRPr="00CD2B41">
              <w:rPr>
                <w:rFonts w:ascii="Times" w:hAnsi="Times"/>
                <w:color w:val="000000"/>
                <w:sz w:val="20"/>
                <w:szCs w:val="20"/>
              </w:rPr>
              <w:t>The natural sugar leftover after alcoholic fermentation finishes.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AC0F5"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p w14:paraId="30495916" w14:textId="77777777" w:rsidR="00CD2B41" w:rsidRPr="00CD2B41" w:rsidRDefault="00CD2B41" w:rsidP="00CD2B41">
            <w:pPr>
              <w:rPr>
                <w:rFonts w:ascii="Times" w:hAnsi="Times"/>
                <w:sz w:val="20"/>
                <w:szCs w:val="20"/>
              </w:rPr>
            </w:pPr>
          </w:p>
        </w:tc>
      </w:tr>
      <w:tr w:rsidR="00CD2B41" w:rsidRPr="00CD2B41" w14:paraId="55FC040D"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0DE50" w14:textId="77777777" w:rsidR="00CD2B41" w:rsidRPr="00CD2B41" w:rsidRDefault="00CD2B41" w:rsidP="00CD2B41">
            <w:pPr>
              <w:rPr>
                <w:rFonts w:ascii="Times" w:hAnsi="Times"/>
                <w:sz w:val="20"/>
                <w:szCs w:val="20"/>
              </w:rPr>
            </w:pPr>
            <w:r w:rsidRPr="00CD2B41">
              <w:rPr>
                <w:rFonts w:ascii="Times" w:hAnsi="Times"/>
                <w:color w:val="000000"/>
                <w:sz w:val="20"/>
                <w:szCs w:val="20"/>
              </w:rPr>
              <w:t>Chlorides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D7004" w14:textId="77777777" w:rsidR="00CD2B41" w:rsidRPr="00CD2B41" w:rsidRDefault="00CD2B41" w:rsidP="00CD2B41">
            <w:pPr>
              <w:rPr>
                <w:rFonts w:ascii="Times" w:hAnsi="Times"/>
                <w:sz w:val="20"/>
                <w:szCs w:val="20"/>
              </w:rPr>
            </w:pPr>
            <w:r w:rsidRPr="00CD2B41">
              <w:rPr>
                <w:rFonts w:ascii="Times" w:hAnsi="Times"/>
                <w:color w:val="000000"/>
                <w:sz w:val="20"/>
                <w:szCs w:val="20"/>
              </w:rPr>
              <w:t>The major contributor to saltiness in wine. The common range is from 2 to 4 g/L.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F11D6"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269E869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413D" w14:textId="77777777" w:rsidR="00CD2B41" w:rsidRPr="00CD2B41" w:rsidRDefault="00CD2B41" w:rsidP="00CD2B41">
            <w:pPr>
              <w:rPr>
                <w:rFonts w:ascii="Times" w:hAnsi="Times"/>
                <w:sz w:val="20"/>
                <w:szCs w:val="20"/>
              </w:rPr>
            </w:pPr>
            <w:r w:rsidRPr="00CD2B41">
              <w:rPr>
                <w:rFonts w:ascii="Times" w:hAnsi="Times"/>
                <w:color w:val="000000"/>
                <w:sz w:val="20"/>
                <w:szCs w:val="20"/>
              </w:rPr>
              <w:t>Free Sulfur Dioxide</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84D2" w14:textId="77777777" w:rsidR="00CD2B41" w:rsidRPr="00CD2B41" w:rsidRDefault="00CD2B41" w:rsidP="00CD2B41">
            <w:pPr>
              <w:rPr>
                <w:rFonts w:ascii="Times" w:hAnsi="Times"/>
                <w:sz w:val="20"/>
                <w:szCs w:val="20"/>
              </w:rPr>
            </w:pPr>
            <w:r w:rsidRPr="00CD2B41">
              <w:rPr>
                <w:rFonts w:ascii="Times" w:hAnsi="Times"/>
                <w:color w:val="000000"/>
                <w:sz w:val="20"/>
                <w:szCs w:val="20"/>
              </w:rPr>
              <w:t>The amount of free SO2 in wine. Used for preventing microbial growth and oxidation.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F46F4" w14:textId="77777777" w:rsidR="00CD2B41" w:rsidRPr="00CD2B41" w:rsidRDefault="00CD2B41" w:rsidP="00CD2B41">
            <w:pPr>
              <w:rPr>
                <w:rFonts w:ascii="Times" w:hAnsi="Times"/>
                <w:sz w:val="20"/>
                <w:szCs w:val="20"/>
              </w:rPr>
            </w:pPr>
            <w:r w:rsidRPr="00CD2B41">
              <w:rPr>
                <w:rFonts w:ascii="Times" w:hAnsi="Times"/>
                <w:color w:val="000000"/>
                <w:sz w:val="20"/>
                <w:szCs w:val="20"/>
              </w:rPr>
              <w:t xml:space="preserve"> mg/L</w:t>
            </w:r>
          </w:p>
          <w:p w14:paraId="7E01D03C" w14:textId="77777777" w:rsidR="00CD2B41" w:rsidRPr="00CD2B41" w:rsidRDefault="00CD2B41" w:rsidP="00CD2B41">
            <w:pPr>
              <w:rPr>
                <w:rFonts w:ascii="Times" w:hAnsi="Times"/>
                <w:sz w:val="20"/>
                <w:szCs w:val="20"/>
              </w:rPr>
            </w:pPr>
          </w:p>
        </w:tc>
      </w:tr>
      <w:tr w:rsidR="00CD2B41" w:rsidRPr="00CD2B41" w14:paraId="12E18B4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D47A" w14:textId="77777777" w:rsidR="00CD2B41" w:rsidRPr="00CD2B41" w:rsidRDefault="00CD2B41" w:rsidP="00CD2B41">
            <w:pPr>
              <w:rPr>
                <w:rFonts w:ascii="Times" w:hAnsi="Times"/>
                <w:sz w:val="20"/>
                <w:szCs w:val="20"/>
              </w:rPr>
            </w:pPr>
            <w:r w:rsidRPr="00CD2B41">
              <w:rPr>
                <w:rFonts w:ascii="Times" w:hAnsi="Times"/>
                <w:color w:val="000000"/>
                <w:sz w:val="20"/>
                <w:szCs w:val="20"/>
              </w:rPr>
              <w:t>Total Sulfur Dioxide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D17B4" w14:textId="77777777" w:rsidR="00CD2B41" w:rsidRPr="00CD2B41" w:rsidRDefault="00CD2B41" w:rsidP="00CD2B41">
            <w:pPr>
              <w:rPr>
                <w:rFonts w:ascii="Times" w:hAnsi="Times"/>
                <w:sz w:val="20"/>
                <w:szCs w:val="20"/>
              </w:rPr>
            </w:pPr>
            <w:r w:rsidRPr="00CD2B41">
              <w:rPr>
                <w:rFonts w:ascii="Times" w:hAnsi="Times"/>
                <w:color w:val="000000"/>
                <w:sz w:val="20"/>
                <w:szCs w:val="20"/>
              </w:rPr>
              <w:t>The portion of free SO2 and bound SO2 to other chemicals.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FD87" w14:textId="77777777" w:rsidR="00CD2B41" w:rsidRPr="00CD2B41" w:rsidRDefault="00CD2B41" w:rsidP="00CD2B41">
            <w:pPr>
              <w:rPr>
                <w:rFonts w:ascii="Times" w:hAnsi="Times"/>
                <w:sz w:val="20"/>
                <w:szCs w:val="20"/>
              </w:rPr>
            </w:pPr>
            <w:r w:rsidRPr="00CD2B41">
              <w:rPr>
                <w:rFonts w:ascii="Times" w:hAnsi="Times"/>
                <w:color w:val="000000"/>
                <w:sz w:val="20"/>
                <w:szCs w:val="20"/>
              </w:rPr>
              <w:t>mg/L</w:t>
            </w:r>
          </w:p>
          <w:p w14:paraId="22B4F32B" w14:textId="77777777" w:rsidR="00CD2B41" w:rsidRPr="00CD2B41" w:rsidRDefault="00CD2B41" w:rsidP="00CD2B41">
            <w:pPr>
              <w:rPr>
                <w:rFonts w:ascii="Times" w:hAnsi="Times"/>
                <w:sz w:val="20"/>
                <w:szCs w:val="20"/>
              </w:rPr>
            </w:pPr>
          </w:p>
        </w:tc>
      </w:tr>
      <w:tr w:rsidR="00CD2B41" w:rsidRPr="00CD2B41" w14:paraId="69DC778E"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96F4" w14:textId="77777777" w:rsidR="00CD2B41" w:rsidRPr="00CD2B41" w:rsidRDefault="00CD2B41" w:rsidP="00CD2B41">
            <w:pPr>
              <w:rPr>
                <w:rFonts w:ascii="Times" w:hAnsi="Times"/>
                <w:sz w:val="20"/>
                <w:szCs w:val="20"/>
              </w:rPr>
            </w:pPr>
            <w:r w:rsidRPr="00CD2B41">
              <w:rPr>
                <w:rFonts w:ascii="Times" w:hAnsi="Times"/>
                <w:color w:val="000000"/>
                <w:sz w:val="20"/>
                <w:szCs w:val="20"/>
              </w:rPr>
              <w:t>Density</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3F404" w14:textId="77777777" w:rsidR="00CD2B41" w:rsidRPr="00CD2B41" w:rsidRDefault="00CD2B41" w:rsidP="00CD2B41">
            <w:pPr>
              <w:rPr>
                <w:rFonts w:ascii="Times" w:hAnsi="Times"/>
                <w:sz w:val="20"/>
                <w:szCs w:val="20"/>
              </w:rPr>
            </w:pPr>
            <w:r w:rsidRPr="00CD2B41">
              <w:rPr>
                <w:rFonts w:ascii="Times" w:hAnsi="Times"/>
                <w:color w:val="000000"/>
                <w:sz w:val="20"/>
                <w:szCs w:val="20"/>
              </w:rPr>
              <w:t>The weight per volume of a material. Density of wine is mainly determined by the concentration of alcohol, sugar, and glycerol.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53483" w14:textId="77777777" w:rsidR="00CD2B41" w:rsidRPr="00CD2B41" w:rsidRDefault="00CD2B41" w:rsidP="00CD2B41">
            <w:pPr>
              <w:rPr>
                <w:rFonts w:ascii="Times" w:hAnsi="Times"/>
                <w:sz w:val="20"/>
                <w:szCs w:val="20"/>
              </w:rPr>
            </w:pPr>
            <w:r w:rsidRPr="00CD2B41">
              <w:rPr>
                <w:rFonts w:ascii="Times" w:hAnsi="Times"/>
                <w:color w:val="000000"/>
                <w:sz w:val="20"/>
                <w:szCs w:val="20"/>
              </w:rPr>
              <w:t>g/mL</w:t>
            </w:r>
          </w:p>
        </w:tc>
      </w:tr>
      <w:tr w:rsidR="00CD2B41" w:rsidRPr="00CD2B41" w14:paraId="05FEAE87"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36711" w14:textId="77777777" w:rsidR="00CD2B41" w:rsidRPr="00CD2B41" w:rsidRDefault="00CD2B41" w:rsidP="00CD2B41">
            <w:pPr>
              <w:rPr>
                <w:rFonts w:ascii="Times" w:hAnsi="Times"/>
                <w:sz w:val="20"/>
                <w:szCs w:val="20"/>
              </w:rPr>
            </w:pPr>
            <w:r w:rsidRPr="00CD2B41">
              <w:rPr>
                <w:rFonts w:ascii="Times" w:hAnsi="Times"/>
                <w:color w:val="000000"/>
                <w:sz w:val="20"/>
                <w:szCs w:val="20"/>
              </w:rPr>
              <w:t>pH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C0E8" w14:textId="77777777" w:rsidR="00CD2B41" w:rsidRPr="00CD2B41" w:rsidRDefault="00CD2B41" w:rsidP="00CD2B41">
            <w:pPr>
              <w:rPr>
                <w:rFonts w:ascii="Times" w:hAnsi="Times"/>
                <w:sz w:val="20"/>
                <w:szCs w:val="20"/>
              </w:rPr>
            </w:pPr>
            <w:r w:rsidRPr="00CD2B41">
              <w:rPr>
                <w:rFonts w:ascii="Times" w:hAnsi="Times"/>
                <w:color w:val="000000"/>
                <w:sz w:val="20"/>
                <w:szCs w:val="20"/>
              </w:rPr>
              <w:t>Measures ripeness versus acidity. The common pH range for wine is from 3.3 to 3.6. The higher the pH, the lower the acidity.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53ED" w14:textId="77777777" w:rsidR="00CD2B41" w:rsidRPr="00CD2B41" w:rsidRDefault="00CD2B41" w:rsidP="00CD2B41">
            <w:pPr>
              <w:rPr>
                <w:rFonts w:ascii="Times" w:hAnsi="Times"/>
                <w:sz w:val="20"/>
                <w:szCs w:val="20"/>
              </w:rPr>
            </w:pPr>
            <w:r w:rsidRPr="00CD2B41">
              <w:rPr>
                <w:rFonts w:ascii="Times" w:hAnsi="Times"/>
                <w:color w:val="000000"/>
                <w:sz w:val="20"/>
                <w:szCs w:val="20"/>
              </w:rPr>
              <w:t>1-14 scale</w:t>
            </w:r>
          </w:p>
        </w:tc>
      </w:tr>
      <w:tr w:rsidR="00CD2B41" w:rsidRPr="00CD2B41" w14:paraId="67E6F0D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A153C" w14:textId="77777777" w:rsidR="00CD2B41" w:rsidRPr="00CD2B41" w:rsidRDefault="00CD2B41" w:rsidP="00CD2B41">
            <w:pPr>
              <w:rPr>
                <w:rFonts w:ascii="Times" w:hAnsi="Times"/>
                <w:sz w:val="20"/>
                <w:szCs w:val="20"/>
              </w:rPr>
            </w:pPr>
            <w:r w:rsidRPr="00CD2B41">
              <w:rPr>
                <w:rFonts w:ascii="Times" w:hAnsi="Times"/>
                <w:color w:val="000000"/>
                <w:sz w:val="20"/>
                <w:szCs w:val="20"/>
              </w:rPr>
              <w:t>Sulphates</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6E5E" w14:textId="77777777" w:rsidR="00CD2B41" w:rsidRPr="00CD2B41" w:rsidRDefault="00CD2B41" w:rsidP="00CD2B41">
            <w:pPr>
              <w:rPr>
                <w:rFonts w:ascii="Times" w:hAnsi="Times"/>
                <w:sz w:val="20"/>
                <w:szCs w:val="20"/>
              </w:rPr>
            </w:pPr>
            <w:r w:rsidRPr="00CD2B41">
              <w:rPr>
                <w:rFonts w:ascii="Times" w:hAnsi="Times"/>
                <w:color w:val="000000"/>
                <w:sz w:val="20"/>
                <w:szCs w:val="20"/>
              </w:rPr>
              <w:t xml:space="preserve">The </w:t>
            </w:r>
            <w:proofErr w:type="gramStart"/>
            <w:r w:rsidRPr="00CD2B41">
              <w:rPr>
                <w:rFonts w:ascii="Times" w:hAnsi="Times"/>
                <w:color w:val="000000"/>
                <w:sz w:val="20"/>
                <w:szCs w:val="20"/>
              </w:rPr>
              <w:t>amount</w:t>
            </w:r>
            <w:proofErr w:type="gramEnd"/>
            <w:r w:rsidRPr="00CD2B41">
              <w:rPr>
                <w:rFonts w:ascii="Times" w:hAnsi="Times"/>
                <w:color w:val="000000"/>
                <w:sz w:val="20"/>
                <w:szCs w:val="20"/>
              </w:rPr>
              <w:t xml:space="preserve"> of salts of sulfuric acid in wine. Used for inhibiting microbial growth.</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0089B"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223C6B01"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20302" w14:textId="77777777" w:rsidR="00CD2B41" w:rsidRPr="00CD2B41" w:rsidRDefault="00CD2B41" w:rsidP="00CD2B41">
            <w:pPr>
              <w:rPr>
                <w:rFonts w:ascii="Times" w:hAnsi="Times"/>
                <w:sz w:val="20"/>
                <w:szCs w:val="20"/>
              </w:rPr>
            </w:pPr>
            <w:r w:rsidRPr="00CD2B41">
              <w:rPr>
                <w:rFonts w:ascii="Times" w:hAnsi="Times"/>
                <w:color w:val="000000"/>
                <w:sz w:val="20"/>
                <w:szCs w:val="20"/>
              </w:rPr>
              <w:t>Alcohol</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A1F38" w14:textId="77777777" w:rsidR="00CD2B41" w:rsidRPr="00CD2B41" w:rsidRDefault="00CD2B41" w:rsidP="00CD2B41">
            <w:pPr>
              <w:rPr>
                <w:rFonts w:ascii="Times" w:hAnsi="Times"/>
                <w:sz w:val="20"/>
                <w:szCs w:val="20"/>
              </w:rPr>
            </w:pPr>
            <w:r w:rsidRPr="00CD2B41">
              <w:rPr>
                <w:rFonts w:ascii="Times" w:hAnsi="Times"/>
                <w:color w:val="000000"/>
                <w:sz w:val="20"/>
                <w:szCs w:val="20"/>
              </w:rPr>
              <w:t>The percent alcohol content of the wine.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C89B9" w14:textId="77777777" w:rsidR="00CD2B41" w:rsidRPr="00CD2B41" w:rsidRDefault="00CD2B41" w:rsidP="00CD2B41">
            <w:pPr>
              <w:rPr>
                <w:rFonts w:ascii="Times" w:hAnsi="Times"/>
                <w:sz w:val="20"/>
                <w:szCs w:val="20"/>
              </w:rPr>
            </w:pPr>
            <w:r w:rsidRPr="00CD2B41">
              <w:rPr>
                <w:rFonts w:ascii="Times" w:hAnsi="Times"/>
                <w:color w:val="000000"/>
                <w:sz w:val="20"/>
                <w:szCs w:val="20"/>
              </w:rPr>
              <w:t>%</w:t>
            </w:r>
          </w:p>
        </w:tc>
      </w:tr>
      <w:tr w:rsidR="00CD2B41" w:rsidRPr="00CD2B41" w14:paraId="0F79F3DB"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1D551" w14:textId="77777777" w:rsidR="00CD2B41" w:rsidRPr="00CD2B41" w:rsidRDefault="00CD2B41" w:rsidP="00CD2B41">
            <w:pPr>
              <w:rPr>
                <w:rFonts w:ascii="Times" w:hAnsi="Times"/>
                <w:sz w:val="20"/>
                <w:szCs w:val="20"/>
              </w:rPr>
            </w:pPr>
            <w:r w:rsidRPr="00CD2B41">
              <w:rPr>
                <w:rFonts w:ascii="Times" w:hAnsi="Times"/>
                <w:color w:val="000000"/>
                <w:sz w:val="20"/>
                <w:szCs w:val="20"/>
              </w:rPr>
              <w:t>Quality</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30A3" w14:textId="77777777" w:rsidR="00CD2B41" w:rsidRPr="00CD2B41" w:rsidRDefault="00CD2B41" w:rsidP="00CD2B41">
            <w:pPr>
              <w:rPr>
                <w:rFonts w:ascii="Times" w:hAnsi="Times"/>
                <w:sz w:val="20"/>
                <w:szCs w:val="20"/>
              </w:rPr>
            </w:pPr>
            <w:r w:rsidRPr="00CD2B41">
              <w:rPr>
                <w:rFonts w:ascii="Times" w:hAnsi="Times"/>
                <w:color w:val="000000"/>
                <w:sz w:val="20"/>
                <w:szCs w:val="20"/>
              </w:rPr>
              <w:t>A score measures wine quality.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9724" w14:textId="77777777" w:rsidR="00CD2B41" w:rsidRPr="00CD2B41" w:rsidRDefault="00CD2B41" w:rsidP="00CD2B41">
            <w:pPr>
              <w:rPr>
                <w:rFonts w:ascii="Times" w:hAnsi="Times"/>
                <w:sz w:val="20"/>
                <w:szCs w:val="20"/>
              </w:rPr>
            </w:pPr>
            <w:r w:rsidRPr="00CD2B41">
              <w:rPr>
                <w:rFonts w:ascii="Times" w:hAnsi="Times"/>
                <w:color w:val="000000"/>
                <w:sz w:val="20"/>
                <w:szCs w:val="20"/>
              </w:rPr>
              <w:t>0-10 scale</w:t>
            </w:r>
          </w:p>
        </w:tc>
      </w:tr>
    </w:tbl>
    <w:p w14:paraId="64B0328D" w14:textId="0573F710" w:rsidR="00CD2B41" w:rsidRDefault="00CD2B41" w:rsidP="00406211">
      <w:pPr>
        <w:rPr>
          <w:rFonts w:ascii="Times" w:hAnsi="Times"/>
          <w:sz w:val="20"/>
          <w:szCs w:val="20"/>
        </w:rPr>
      </w:pPr>
    </w:p>
    <w:p w14:paraId="4CD9CEE5" w14:textId="67954958" w:rsidR="001E38C6" w:rsidRDefault="001E38C6" w:rsidP="00406211">
      <w:pPr>
        <w:rPr>
          <w:rFonts w:ascii="Times" w:hAnsi="Times"/>
          <w:sz w:val="20"/>
          <w:szCs w:val="20"/>
        </w:rPr>
      </w:pPr>
      <w:r>
        <w:rPr>
          <w:rFonts w:ascii="Times" w:hAnsi="Times"/>
          <w:sz w:val="20"/>
          <w:szCs w:val="20"/>
        </w:rPr>
        <w:t>Correlation Heat Maps:</w:t>
      </w:r>
    </w:p>
    <w:p w14:paraId="652B91A7" w14:textId="537FA7F5" w:rsidR="001E38C6" w:rsidRDefault="001E38C6" w:rsidP="00406211">
      <w:pPr>
        <w:rPr>
          <w:rFonts w:ascii="Times" w:hAnsi="Times"/>
          <w:sz w:val="20"/>
          <w:szCs w:val="20"/>
        </w:rPr>
      </w:pPr>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227872A7" w:rsidR="001E38C6" w:rsidRPr="001E38C6" w:rsidRDefault="001E38C6" w:rsidP="001E38C6">
      <w:r w:rsidRPr="001E38C6">
        <w:rPr>
          <w:rFonts w:ascii="Times" w:hAnsi="Times"/>
          <w:noProof/>
          <w:sz w:val="20"/>
          <w:szCs w:val="20"/>
        </w:rPr>
        <w:lastRenderedPageBreak/>
        <w:drawing>
          <wp:inline distT="0" distB="0" distL="0" distR="0" wp14:anchorId="553F3A8A" wp14:editId="7F0F35FC">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75B5AC40" w14:textId="380CFCCF" w:rsidR="001E38C6" w:rsidRPr="001E38C6" w:rsidRDefault="001E38C6" w:rsidP="001E38C6"/>
    <w:p w14:paraId="3F78D955" w14:textId="3473A853" w:rsidR="00590ADA" w:rsidRDefault="00590ADA" w:rsidP="00406211">
      <w:pPr>
        <w:rPr>
          <w:rFonts w:ascii="Times" w:hAnsi="Times"/>
          <w:sz w:val="20"/>
          <w:szCs w:val="20"/>
        </w:rPr>
      </w:pPr>
      <w:r>
        <w:rPr>
          <w:rFonts w:ascii="Times" w:hAnsi="Times"/>
          <w:sz w:val="20"/>
          <w:szCs w:val="20"/>
        </w:rPr>
        <w:t>Feature Importance:</w:t>
      </w:r>
    </w:p>
    <w:p w14:paraId="540D4939" w14:textId="1CBEFE14" w:rsidR="00590ADA" w:rsidRDefault="00590ADA" w:rsidP="00406211">
      <w:pPr>
        <w:rPr>
          <w:rFonts w:ascii="Times" w:hAnsi="Times"/>
          <w:sz w:val="20"/>
          <w:szCs w:val="20"/>
        </w:rPr>
      </w:pPr>
    </w:p>
    <w:p w14:paraId="66260E18" w14:textId="09406D27" w:rsidR="00590ADA" w:rsidRPr="00590ADA" w:rsidRDefault="00590ADA" w:rsidP="00590ADA">
      <w:pPr>
        <w:ind w:left="72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5C988094" w14:textId="61898B20" w:rsidR="00590ADA" w:rsidRDefault="00590ADA" w:rsidP="00406211">
      <w:pPr>
        <w:rPr>
          <w:rFonts w:ascii="Times" w:hAnsi="Times"/>
          <w:sz w:val="20"/>
          <w:szCs w:val="20"/>
        </w:rPr>
      </w:pPr>
    </w:p>
    <w:p w14:paraId="229C7D5A" w14:textId="6388D47D" w:rsidR="00590ADA" w:rsidRPr="00590ADA" w:rsidRDefault="00590ADA" w:rsidP="00590ADA">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"https://lh4.googleusercontent.com/oGrZ_7zLVsMH6IcTouvYqIcyZ0srIFQ1rUd8D9NIvMpVBtznGk_Zrty6obEc4J7JgBJ40xtayNV4-6XPGClj58m3TDLQqkA5_fmGYCrmMuBcbfnKQD4UHfZyJzDKhXVteg9ySLw7" \* MERGEFORMATINET </w:instrText>
      </w:r>
      <w:r w:rsidRPr="00590ADA">
        <w:rPr>
          <w:i/>
          <w:iCs/>
          <w:color w:val="000000"/>
          <w:bdr w:val="none" w:sz="0" w:space="0" w:color="auto" w:frame="1"/>
        </w:rPr>
        <w:fldChar w:fldCharType="separate"/>
      </w:r>
      <w:r w:rsidRPr="00590ADA">
        <w:rPr>
          <w:i/>
          <w:iCs/>
          <w:noProof/>
          <w:color w:val="000000"/>
          <w:bdr w:val="none" w:sz="0" w:space="0" w:color="auto" w:frame="1"/>
        </w:rPr>
        <w:drawing>
          <wp:inline distT="0" distB="0" distL="0" distR="0" wp14:anchorId="32E50568" wp14:editId="47F69E7D">
            <wp:extent cx="2201093" cy="2671638"/>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3984" cy="2675147"/>
                    </a:xfrm>
                    <a:prstGeom prst="rect">
                      <a:avLst/>
                    </a:prstGeom>
                    <a:noFill/>
                    <a:ln>
                      <a:noFill/>
                    </a:ln>
                  </pic:spPr>
                </pic:pic>
              </a:graphicData>
            </a:graphic>
          </wp:inline>
        </w:drawing>
      </w:r>
      <w:r w:rsidRPr="00590ADA">
        <w:rPr>
          <w:i/>
          <w:iCs/>
          <w:color w:val="000000"/>
          <w:bdr w:val="none" w:sz="0" w:space="0" w:color="auto" w:frame="1"/>
        </w:rPr>
        <w:fldChar w:fldCharType="end"/>
      </w:r>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"https://lh6.googleusercontent.com/Kcjh7c-1E6j9dlzqa6TSp27GI7Mk2ip5fg2XpPLZ5tSaFMk0xu6jHj-HRjHY7eVcUpgMXgDHfA0YoRfEnzzgP5Cc8IPYf6r6X4XRL6IwvvfiV40pORVApOneMYf8ViFHdrClQ13W" \* MERGEFORMATINET </w:instrText>
      </w:r>
      <w:r w:rsidRPr="00590ADA">
        <w:rPr>
          <w:i/>
          <w:iCs/>
          <w:color w:val="000000"/>
          <w:bdr w:val="none" w:sz="0" w:space="0" w:color="auto" w:frame="1"/>
        </w:rPr>
        <w:fldChar w:fldCharType="separate"/>
      </w:r>
      <w:r w:rsidRPr="00590ADA">
        <w:rPr>
          <w:i/>
          <w:iCs/>
          <w:noProof/>
          <w:color w:val="000000"/>
          <w:bdr w:val="none" w:sz="0" w:space="0" w:color="auto" w:frame="1"/>
        </w:rPr>
        <w:drawing>
          <wp:inline distT="0" distB="0" distL="0" distR="0" wp14:anchorId="742AA22D" wp14:editId="25512135">
            <wp:extent cx="2218913" cy="2663660"/>
            <wp:effectExtent l="0" t="0" r="381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4634" cy="2670528"/>
                    </a:xfrm>
                    <a:prstGeom prst="rect">
                      <a:avLst/>
                    </a:prstGeom>
                    <a:noFill/>
                    <a:ln>
                      <a:noFill/>
                    </a:ln>
                  </pic:spPr>
                </pic:pic>
              </a:graphicData>
            </a:graphic>
          </wp:inline>
        </w:drawing>
      </w:r>
      <w:r w:rsidRPr="00590ADA">
        <w:rPr>
          <w:i/>
          <w:iCs/>
          <w:color w:val="000000"/>
          <w:bdr w:val="none" w:sz="0" w:space="0" w:color="auto" w:frame="1"/>
        </w:rPr>
        <w:fldChar w:fldCharType="end"/>
      </w:r>
    </w:p>
    <w:p w14:paraId="170D2935" w14:textId="6881B9D6" w:rsidR="00590ADA" w:rsidRPr="00590ADA" w:rsidRDefault="00590ADA" w:rsidP="00590ADA"/>
    <w:p w14:paraId="74AB30E6" w14:textId="77777777" w:rsidR="00590ADA" w:rsidRDefault="00590ADA" w:rsidP="00406211">
      <w:pPr>
        <w:rPr>
          <w:rFonts w:ascii="Times" w:hAnsi="Times"/>
          <w:sz w:val="20"/>
          <w:szCs w:val="20"/>
        </w:rPr>
      </w:pPr>
    </w:p>
    <w:p w14:paraId="2DC9EA66" w14:textId="0B39B246" w:rsidR="001E38C6" w:rsidRDefault="001E38C6" w:rsidP="00406211">
      <w:pPr>
        <w:rPr>
          <w:rFonts w:ascii="Times" w:hAnsi="Times"/>
          <w:sz w:val="20"/>
          <w:szCs w:val="20"/>
        </w:rPr>
      </w:pPr>
      <w:r>
        <w:rPr>
          <w:rFonts w:ascii="Times" w:hAnsi="Times"/>
          <w:sz w:val="20"/>
          <w:szCs w:val="20"/>
        </w:rPr>
        <w:t>Clustering:</w:t>
      </w:r>
    </w:p>
    <w:p w14:paraId="2440EDB0" w14:textId="69EB3E3E" w:rsidR="001E38C6" w:rsidRDefault="001E38C6" w:rsidP="00406211">
      <w:pPr>
        <w:rPr>
          <w:rFonts w:ascii="Times" w:hAnsi="Times"/>
          <w:sz w:val="20"/>
          <w:szCs w:val="20"/>
        </w:rPr>
      </w:pPr>
    </w:p>
    <w:p w14:paraId="75D8EA22" w14:textId="4C321646" w:rsidR="001E38C6" w:rsidRPr="001E38C6" w:rsidRDefault="001E38C6" w:rsidP="001E38C6">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Pr="001E38C6">
        <w:rPr>
          <w:i/>
          <w:iCs/>
          <w:noProof/>
          <w:color w:val="000000"/>
          <w:bdr w:val="none" w:sz="0" w:space="0" w:color="auto" w:frame="1"/>
        </w:rPr>
        <w:drawing>
          <wp:inline distT="0" distB="0" distL="0" distR="0" wp14:anchorId="388D508D" wp14:editId="2D614704">
            <wp:extent cx="5621572" cy="2125701"/>
            <wp:effectExtent l="0" t="0" r="508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809" cy="2132975"/>
                    </a:xfrm>
                    <a:prstGeom prst="rect">
                      <a:avLst/>
                    </a:prstGeom>
                    <a:noFill/>
                    <a:ln>
                      <a:noFill/>
                    </a:ln>
                  </pic:spPr>
                </pic:pic>
              </a:graphicData>
            </a:graphic>
          </wp:inline>
        </w:drawing>
      </w:r>
      <w:r w:rsidRPr="001E38C6">
        <w:rPr>
          <w:i/>
          <w:iCs/>
          <w:color w:val="000000"/>
          <w:bdr w:val="none" w:sz="0" w:space="0" w:color="auto" w:frame="1"/>
        </w:rPr>
        <w:fldChar w:fldCharType="end"/>
      </w:r>
    </w:p>
    <w:p w14:paraId="2F6D1589" w14:textId="447DBB6D" w:rsidR="001E38C6" w:rsidRPr="001E38C6" w:rsidRDefault="001E38C6" w:rsidP="001E38C6">
      <w:r w:rsidRPr="001E38C6">
        <w:rPr>
          <w:i/>
          <w:iCs/>
          <w:color w:val="000000"/>
          <w:bdr w:val="none" w:sz="0" w:space="0" w:color="auto" w:frame="1"/>
        </w:rPr>
        <w:lastRenderedPageBreak/>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Pr="001E38C6">
        <w:rPr>
          <w:i/>
          <w:iCs/>
          <w:noProof/>
          <w:color w:val="000000"/>
          <w:bdr w:val="none" w:sz="0" w:space="0" w:color="auto" w:frame="1"/>
        </w:rPr>
        <w:drawing>
          <wp:inline distT="0" distB="0" distL="0" distR="0" wp14:anchorId="3A06BC28" wp14:editId="69812533">
            <wp:extent cx="5669280" cy="2171941"/>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766" cy="2182088"/>
                    </a:xfrm>
                    <a:prstGeom prst="rect">
                      <a:avLst/>
                    </a:prstGeom>
                    <a:noFill/>
                    <a:ln>
                      <a:noFill/>
                    </a:ln>
                  </pic:spPr>
                </pic:pic>
              </a:graphicData>
            </a:graphic>
          </wp:inline>
        </w:drawing>
      </w:r>
      <w:r w:rsidRPr="001E38C6">
        <w:rPr>
          <w:i/>
          <w:iCs/>
          <w:color w:val="000000"/>
          <w:bdr w:val="none" w:sz="0" w:space="0" w:color="auto" w:frame="1"/>
        </w:rPr>
        <w:fldChar w:fldCharType="end"/>
      </w:r>
    </w:p>
    <w:p w14:paraId="066CC929" w14:textId="030D4C81" w:rsidR="001E38C6" w:rsidRPr="001E38C6" w:rsidRDefault="001E38C6" w:rsidP="001E38C6">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Pr="001E38C6">
        <w:rPr>
          <w:noProof/>
          <w:bdr w:val="none" w:sz="0" w:space="0" w:color="auto" w:frame="1"/>
        </w:rPr>
        <w:drawing>
          <wp:inline distT="0" distB="0" distL="0" distR="0" wp14:anchorId="7F0943B4" wp14:editId="5880692D">
            <wp:extent cx="2480807" cy="203727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0727" cy="2053629"/>
                    </a:xfrm>
                    <a:prstGeom prst="rect">
                      <a:avLst/>
                    </a:prstGeom>
                    <a:noFill/>
                    <a:ln>
                      <a:noFill/>
                    </a:ln>
                  </pic:spPr>
                </pic:pic>
              </a:graphicData>
            </a:graphic>
          </wp:inline>
        </w:drawing>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Pr="001E38C6">
        <w:rPr>
          <w:noProof/>
          <w:bdr w:val="none" w:sz="0" w:space="0" w:color="auto" w:frame="1"/>
        </w:rPr>
        <w:drawing>
          <wp:inline distT="0" distB="0" distL="0" distR="0" wp14:anchorId="50AC8B67" wp14:editId="18EE71B7">
            <wp:extent cx="2520563" cy="205561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9698" cy="2071215"/>
                    </a:xfrm>
                    <a:prstGeom prst="rect">
                      <a:avLst/>
                    </a:prstGeom>
                    <a:noFill/>
                    <a:ln>
                      <a:noFill/>
                    </a:ln>
                  </pic:spPr>
                </pic:pic>
              </a:graphicData>
            </a:graphic>
          </wp:inline>
        </w:drawing>
      </w:r>
      <w:r w:rsidRPr="001E38C6">
        <w:rPr>
          <w:bdr w:val="none" w:sz="0" w:space="0" w:color="auto" w:frame="1"/>
        </w:rPr>
        <w:fldChar w:fldCharType="end"/>
      </w:r>
    </w:p>
    <w:p w14:paraId="21774F19" w14:textId="166DDC19" w:rsidR="001E38C6" w:rsidRPr="001E38C6" w:rsidRDefault="001E38C6" w:rsidP="001E38C6"/>
    <w:p w14:paraId="00BFD167" w14:textId="205B2941" w:rsidR="001E38C6" w:rsidRDefault="00BA05AA" w:rsidP="00406211">
      <w:pPr>
        <w:rPr>
          <w:rFonts w:ascii="Times" w:hAnsi="Times"/>
          <w:sz w:val="20"/>
          <w:szCs w:val="20"/>
        </w:rPr>
      </w:pPr>
      <w:r>
        <w:rPr>
          <w:rFonts w:ascii="Times" w:hAnsi="Times"/>
          <w:sz w:val="20"/>
          <w:szCs w:val="20"/>
        </w:rPr>
        <w:t>VIF:</w:t>
      </w:r>
    </w:p>
    <w:p w14:paraId="644A6FA3" w14:textId="16A9B5EE" w:rsidR="00BA05AA" w:rsidRDefault="00BA05AA" w:rsidP="00406211">
      <w:pPr>
        <w:rPr>
          <w:rFonts w:ascii="Times" w:hAnsi="Times"/>
          <w:sz w:val="20"/>
          <w:szCs w:val="20"/>
        </w:rPr>
      </w:pPr>
    </w:p>
    <w:p w14:paraId="69DE470C" w14:textId="22491D09" w:rsidR="00BA05AA" w:rsidRPr="00BA05AA" w:rsidRDefault="00BA05AA" w:rsidP="00BA05AA">
      <w:pPr>
        <w:rPr>
          <w:i/>
          <w:iCs/>
          <w:sz w:val="20"/>
          <w:szCs w:val="20"/>
        </w:rPr>
      </w:pPr>
      <w:r w:rsidRPr="00BA05AA">
        <w:rPr>
          <w:i/>
          <w:iCs/>
          <w:sz w:val="20"/>
          <w:szCs w:val="20"/>
        </w:rPr>
        <w:t>Red Wine:</w:t>
      </w:r>
    </w:p>
    <w:p w14:paraId="6B91E0EC" w14:textId="77777777" w:rsidR="00BA05AA" w:rsidRDefault="00BA05AA" w:rsidP="00BA05AA">
      <w:pPr>
        <w:sectPr w:rsidR="00BA05AA" w:rsidSect="001E38C6">
          <w:type w:val="continuous"/>
          <w:pgSz w:w="11894" w:h="16819"/>
          <w:pgMar w:top="720" w:right="720" w:bottom="720" w:left="720" w:header="720" w:footer="720" w:gutter="0"/>
          <w:cols w:space="144"/>
          <w:docGrid w:linePitch="360"/>
        </w:sectPr>
      </w:pPr>
    </w:p>
    <w:p w14:paraId="07B52CA7" w14:textId="566EB4DF" w:rsidR="00BA05AA" w:rsidRDefault="00BA05AA" w:rsidP="00406211">
      <w:pPr>
        <w:rPr>
          <w:rFonts w:ascii="Times" w:hAnsi="Times"/>
          <w:sz w:val="20"/>
          <w:szCs w:val="20"/>
        </w:rPr>
      </w:pPr>
    </w:p>
    <w:p w14:paraId="263D054C" w14:textId="77777777" w:rsidR="00BA05AA" w:rsidRPr="00BA05AA" w:rsidRDefault="00BA05AA" w:rsidP="00BA05AA"/>
    <w:tbl>
      <w:tblPr>
        <w:tblW w:w="9648" w:type="dxa"/>
        <w:tblCellMar>
          <w:top w:w="15" w:type="dxa"/>
          <w:left w:w="15" w:type="dxa"/>
          <w:bottom w:w="15" w:type="dxa"/>
          <w:right w:w="15" w:type="dxa"/>
        </w:tblCellMar>
        <w:tblLook w:val="04A0" w:firstRow="1" w:lastRow="0" w:firstColumn="1" w:lastColumn="0" w:noHBand="0" w:noVBand="1"/>
      </w:tblPr>
      <w:tblGrid>
        <w:gridCol w:w="9561"/>
        <w:gridCol w:w="87"/>
      </w:tblGrid>
      <w:tr w:rsidR="00BA05AA" w:rsidRPr="00BA05AA" w14:paraId="7926F243" w14:textId="77777777" w:rsidTr="00BA05AA">
        <w:trPr>
          <w:trHeight w:val="6825"/>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pPr w:leftFromText="180" w:rightFromText="180" w:vertAnchor="text" w:horzAnchor="margin" w:tblpXSpec="center" w:tblpY="252"/>
              <w:tblOverlap w:val="neve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6B3DAF2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49AA2"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0B0C" w14:textId="77777777" w:rsidR="00BA05AA" w:rsidRPr="00BA05AA" w:rsidRDefault="00BA05AA" w:rsidP="00BA05AA">
                  <w:r w:rsidRPr="00BA05AA">
                    <w:rPr>
                      <w:color w:val="000000"/>
                      <w:sz w:val="20"/>
                      <w:szCs w:val="20"/>
                    </w:rPr>
                    <w:t>VIF</w:t>
                  </w:r>
                </w:p>
              </w:tc>
            </w:tr>
            <w:tr w:rsidR="00BA05AA" w:rsidRPr="00BA05AA" w14:paraId="5B22D86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B600"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3EC74" w14:textId="77777777" w:rsidR="00BA05AA" w:rsidRPr="00BA05AA" w:rsidRDefault="00BA05AA" w:rsidP="00BA05AA">
                  <w:r w:rsidRPr="00BA05AA">
                    <w:rPr>
                      <w:color w:val="000000"/>
                      <w:sz w:val="20"/>
                      <w:szCs w:val="20"/>
                    </w:rPr>
                    <w:t>1.866445</w:t>
                  </w:r>
                </w:p>
              </w:tc>
            </w:tr>
            <w:tr w:rsidR="00BA05AA" w:rsidRPr="00BA05AA" w14:paraId="2AF9462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004D"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66BFB" w14:textId="77777777" w:rsidR="00BA05AA" w:rsidRPr="00BA05AA" w:rsidRDefault="00BA05AA" w:rsidP="00BA05AA">
                  <w:r w:rsidRPr="00BA05AA">
                    <w:rPr>
                      <w:color w:val="000000"/>
                      <w:sz w:val="20"/>
                      <w:szCs w:val="20"/>
                    </w:rPr>
                    <w:t>2.834463</w:t>
                  </w:r>
                </w:p>
              </w:tc>
            </w:tr>
            <w:tr w:rsidR="00BA05AA" w:rsidRPr="00BA05AA" w14:paraId="6C002EBA"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49145"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5D4C4" w14:textId="77777777" w:rsidR="00BA05AA" w:rsidRPr="00BA05AA" w:rsidRDefault="00BA05AA" w:rsidP="00BA05AA">
                  <w:r w:rsidRPr="00BA05AA">
                    <w:rPr>
                      <w:color w:val="000000"/>
                      <w:sz w:val="20"/>
                      <w:szCs w:val="20"/>
                    </w:rPr>
                    <w:t>1.598921</w:t>
                  </w:r>
                </w:p>
              </w:tc>
            </w:tr>
            <w:tr w:rsidR="00BA05AA" w:rsidRPr="00BA05AA" w14:paraId="00030DF6"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995E"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19878" w14:textId="77777777" w:rsidR="00BA05AA" w:rsidRPr="00BA05AA" w:rsidRDefault="00BA05AA" w:rsidP="00BA05AA">
                  <w:r w:rsidRPr="00BA05AA">
                    <w:rPr>
                      <w:color w:val="000000"/>
                      <w:sz w:val="20"/>
                      <w:szCs w:val="20"/>
                    </w:rPr>
                    <w:t>1.379659</w:t>
                  </w:r>
                </w:p>
              </w:tc>
            </w:tr>
            <w:tr w:rsidR="00BA05AA" w:rsidRPr="00BA05AA" w14:paraId="164E760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4C18"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2F143" w14:textId="77777777" w:rsidR="00BA05AA" w:rsidRPr="00BA05AA" w:rsidRDefault="00BA05AA" w:rsidP="00BA05AA">
                  <w:r w:rsidRPr="00BA05AA">
                    <w:rPr>
                      <w:color w:val="000000"/>
                      <w:sz w:val="20"/>
                      <w:szCs w:val="20"/>
                    </w:rPr>
                    <w:t>1.961269</w:t>
                  </w:r>
                </w:p>
              </w:tc>
            </w:tr>
            <w:tr w:rsidR="00BA05AA" w:rsidRPr="00BA05AA" w14:paraId="5CA261A1"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B01"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9E00" w14:textId="77777777" w:rsidR="00BA05AA" w:rsidRPr="00BA05AA" w:rsidRDefault="00BA05AA" w:rsidP="00BA05AA">
                  <w:r w:rsidRPr="00BA05AA">
                    <w:rPr>
                      <w:color w:val="000000"/>
                      <w:sz w:val="20"/>
                      <w:szCs w:val="20"/>
                    </w:rPr>
                    <w:t>2.170959</w:t>
                  </w:r>
                </w:p>
              </w:tc>
            </w:tr>
            <w:tr w:rsidR="00BA05AA" w:rsidRPr="00BA05AA" w14:paraId="68DEBE3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85273" w14:textId="77777777" w:rsidR="00BA05AA" w:rsidRPr="00BA05AA" w:rsidRDefault="00BA05AA" w:rsidP="00BA05AA">
                  <w:r w:rsidRPr="00BA05AA">
                    <w:rPr>
                      <w:color w:val="000000"/>
                      <w:sz w:val="20"/>
                      <w:szCs w:val="20"/>
                    </w:rPr>
                    <w:t>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F45E" w14:textId="77777777" w:rsidR="00BA05AA" w:rsidRPr="00BA05AA" w:rsidRDefault="00BA05AA" w:rsidP="00BA05AA">
                  <w:r w:rsidRPr="00BA05AA">
                    <w:rPr>
                      <w:color w:val="000000"/>
                      <w:sz w:val="20"/>
                      <w:szCs w:val="20"/>
                    </w:rPr>
                    <w:t>2.747043</w:t>
                  </w:r>
                </w:p>
              </w:tc>
            </w:tr>
            <w:tr w:rsidR="00BA05AA" w:rsidRPr="00BA05AA" w14:paraId="4E11E3CB"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59B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FB1B9" w14:textId="77777777" w:rsidR="00BA05AA" w:rsidRPr="00BA05AA" w:rsidRDefault="00BA05AA" w:rsidP="00BA05AA">
                  <w:r w:rsidRPr="00BA05AA">
                    <w:rPr>
                      <w:color w:val="000000"/>
                      <w:sz w:val="20"/>
                      <w:szCs w:val="20"/>
                    </w:rPr>
                    <w:t>1.621783</w:t>
                  </w:r>
                </w:p>
              </w:tc>
            </w:tr>
            <w:tr w:rsidR="00BA05AA" w:rsidRPr="00BA05AA" w14:paraId="325BA5F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B791"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00D4" w14:textId="77777777" w:rsidR="00BA05AA" w:rsidRPr="00BA05AA" w:rsidRDefault="00BA05AA" w:rsidP="00BA05AA">
                  <w:r w:rsidRPr="00BA05AA">
                    <w:rPr>
                      <w:color w:val="000000"/>
                      <w:sz w:val="20"/>
                      <w:szCs w:val="20"/>
                    </w:rPr>
                    <w:t>1.340303</w:t>
                  </w:r>
                </w:p>
              </w:tc>
            </w:tr>
            <w:tr w:rsidR="00BA05AA" w:rsidRPr="00BA05AA" w14:paraId="51E5312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1CF3"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4170" w14:textId="77777777" w:rsidR="00BA05AA" w:rsidRPr="00BA05AA" w:rsidRDefault="00BA05AA" w:rsidP="00BA05AA">
                  <w:r w:rsidRPr="00BA05AA">
                    <w:rPr>
                      <w:color w:val="000000"/>
                      <w:sz w:val="20"/>
                      <w:szCs w:val="20"/>
                    </w:rPr>
                    <w:t>2.316157</w:t>
                  </w:r>
                </w:p>
              </w:tc>
            </w:tr>
          </w:tbl>
          <w:p w14:paraId="0E010742" w14:textId="77777777" w:rsidR="00BA05AA" w:rsidRPr="00BA05AA" w:rsidRDefault="00BA05AA" w:rsidP="00BA05AA"/>
          <w:tbl>
            <w:tblP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7FA7486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2FDD"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16AA" w14:textId="77777777" w:rsidR="00BA05AA" w:rsidRPr="00BA05AA" w:rsidRDefault="00BA05AA" w:rsidP="00BA05AA">
                  <w:r w:rsidRPr="00BA05AA">
                    <w:rPr>
                      <w:color w:val="000000"/>
                      <w:sz w:val="20"/>
                      <w:szCs w:val="20"/>
                    </w:rPr>
                    <w:t>VIF</w:t>
                  </w:r>
                </w:p>
              </w:tc>
            </w:tr>
            <w:tr w:rsidR="00BA05AA" w:rsidRPr="00BA05AA" w14:paraId="63A4B28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9C29"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3B286" w14:textId="77777777" w:rsidR="00BA05AA" w:rsidRPr="00BA05AA" w:rsidRDefault="00BA05AA" w:rsidP="00BA05AA">
                  <w:r w:rsidRPr="00BA05AA">
                    <w:rPr>
                      <w:color w:val="000000"/>
                      <w:sz w:val="20"/>
                      <w:szCs w:val="20"/>
                    </w:rPr>
                    <w:t>7.814194</w:t>
                  </w:r>
                </w:p>
              </w:tc>
            </w:tr>
            <w:tr w:rsidR="00BA05AA" w:rsidRPr="00BA05AA" w14:paraId="2628A85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16B43"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C619" w14:textId="77777777" w:rsidR="00BA05AA" w:rsidRPr="00BA05AA" w:rsidRDefault="00BA05AA" w:rsidP="00BA05AA">
                  <w:r w:rsidRPr="00BA05AA">
                    <w:rPr>
                      <w:color w:val="000000"/>
                      <w:sz w:val="20"/>
                      <w:szCs w:val="20"/>
                    </w:rPr>
                    <w:t>1.866593</w:t>
                  </w:r>
                </w:p>
              </w:tc>
            </w:tr>
            <w:tr w:rsidR="00BA05AA" w:rsidRPr="00BA05AA" w14:paraId="301E628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E3CE"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61348" w14:textId="77777777" w:rsidR="00BA05AA" w:rsidRPr="00BA05AA" w:rsidRDefault="00BA05AA" w:rsidP="00BA05AA">
                  <w:r w:rsidRPr="00BA05AA">
                    <w:rPr>
                      <w:color w:val="000000"/>
                      <w:sz w:val="20"/>
                      <w:szCs w:val="20"/>
                    </w:rPr>
                    <w:t>3.084088</w:t>
                  </w:r>
                </w:p>
              </w:tc>
            </w:tr>
            <w:tr w:rsidR="00BA05AA" w:rsidRPr="00BA05AA" w14:paraId="51C97B4E" w14:textId="77777777">
              <w:trPr>
                <w:trHeight w:val="5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FBA6"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0D148" w14:textId="77777777" w:rsidR="00BA05AA" w:rsidRPr="00BA05AA" w:rsidRDefault="00BA05AA" w:rsidP="00BA05AA">
                  <w:r w:rsidRPr="00BA05AA">
                    <w:rPr>
                      <w:color w:val="000000"/>
                      <w:sz w:val="20"/>
                      <w:szCs w:val="20"/>
                    </w:rPr>
                    <w:t>2.002017</w:t>
                  </w:r>
                </w:p>
              </w:tc>
            </w:tr>
            <w:tr w:rsidR="00BA05AA" w:rsidRPr="00BA05AA" w14:paraId="2CA160F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C2DB6"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78CE" w14:textId="77777777" w:rsidR="00BA05AA" w:rsidRPr="00BA05AA" w:rsidRDefault="00BA05AA" w:rsidP="00BA05AA">
                  <w:r w:rsidRPr="00BA05AA">
                    <w:rPr>
                      <w:color w:val="000000"/>
                      <w:sz w:val="20"/>
                      <w:szCs w:val="20"/>
                    </w:rPr>
                    <w:t>1.448900</w:t>
                  </w:r>
                </w:p>
              </w:tc>
            </w:tr>
            <w:tr w:rsidR="00BA05AA" w:rsidRPr="00BA05AA" w14:paraId="22A1F2F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09275"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5FFC" w14:textId="77777777" w:rsidR="00BA05AA" w:rsidRPr="00BA05AA" w:rsidRDefault="00BA05AA" w:rsidP="00BA05AA">
                  <w:r w:rsidRPr="00BA05AA">
                    <w:rPr>
                      <w:color w:val="000000"/>
                      <w:sz w:val="20"/>
                      <w:szCs w:val="20"/>
                    </w:rPr>
                    <w:t>1.969745</w:t>
                  </w:r>
                </w:p>
              </w:tc>
            </w:tr>
            <w:tr w:rsidR="00BA05AA" w:rsidRPr="00BA05AA" w14:paraId="33985AA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5602"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767DD" w14:textId="77777777" w:rsidR="00BA05AA" w:rsidRPr="00BA05AA" w:rsidRDefault="00BA05AA" w:rsidP="00BA05AA">
                  <w:r w:rsidRPr="00BA05AA">
                    <w:rPr>
                      <w:color w:val="000000"/>
                      <w:sz w:val="20"/>
                      <w:szCs w:val="20"/>
                    </w:rPr>
                    <w:t>2.240458</w:t>
                  </w:r>
                </w:p>
              </w:tc>
            </w:tr>
            <w:tr w:rsidR="00BA05AA" w:rsidRPr="00BA05AA" w14:paraId="2448C45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C2E8" w14:textId="08654038" w:rsidR="00BA05AA" w:rsidRPr="00BA05AA" w:rsidRDefault="00BA05AA" w:rsidP="00BA05AA">
                  <w:r>
                    <w:rPr>
                      <w:color w:val="000000"/>
                      <w:sz w:val="20"/>
                      <w:szCs w:val="20"/>
                    </w:rPr>
                    <w:t>D</w:t>
                  </w:r>
                  <w:r w:rsidRPr="00BA05AA">
                    <w:rPr>
                      <w:color w:val="000000"/>
                      <w:sz w:val="20"/>
                      <w:szCs w:val="20"/>
                    </w:rPr>
                    <w:t>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435B" w14:textId="77777777" w:rsidR="00BA05AA" w:rsidRPr="00BA05AA" w:rsidRDefault="00BA05AA" w:rsidP="00BA05AA">
                  <w:r w:rsidRPr="00BA05AA">
                    <w:rPr>
                      <w:color w:val="000000"/>
                      <w:sz w:val="20"/>
                      <w:szCs w:val="20"/>
                    </w:rPr>
                    <w:t>7.528407</w:t>
                  </w:r>
                </w:p>
              </w:tc>
            </w:tr>
            <w:tr w:rsidR="00BA05AA" w:rsidRPr="00BA05AA" w14:paraId="31B5E4EB" w14:textId="7777777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0B21"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B134" w14:textId="77777777" w:rsidR="00BA05AA" w:rsidRPr="00BA05AA" w:rsidRDefault="00BA05AA" w:rsidP="00BA05AA">
                  <w:r w:rsidRPr="00BA05AA">
                    <w:rPr>
                      <w:color w:val="000000"/>
                      <w:sz w:val="20"/>
                      <w:szCs w:val="20"/>
                    </w:rPr>
                    <w:t>3.324713</w:t>
                  </w:r>
                </w:p>
              </w:tc>
            </w:tr>
            <w:tr w:rsidR="00BA05AA" w:rsidRPr="00BA05AA" w14:paraId="40BC799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DAB9"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2AC66" w14:textId="77777777" w:rsidR="00BA05AA" w:rsidRPr="00BA05AA" w:rsidRDefault="00BA05AA" w:rsidP="00BA05AA">
                  <w:r w:rsidRPr="00BA05AA">
                    <w:rPr>
                      <w:color w:val="000000"/>
                      <w:sz w:val="20"/>
                      <w:szCs w:val="20"/>
                    </w:rPr>
                    <w:t>1.393500</w:t>
                  </w:r>
                </w:p>
              </w:tc>
            </w:tr>
            <w:tr w:rsidR="00BA05AA" w:rsidRPr="00BA05AA" w14:paraId="3E4A391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0945"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621F" w14:textId="77777777" w:rsidR="00BA05AA" w:rsidRPr="00BA05AA" w:rsidRDefault="00BA05AA" w:rsidP="00BA05AA">
                  <w:r w:rsidRPr="00BA05AA">
                    <w:rPr>
                      <w:color w:val="000000"/>
                      <w:sz w:val="20"/>
                      <w:szCs w:val="20"/>
                    </w:rPr>
                    <w:t>3.474619</w:t>
                  </w:r>
                </w:p>
              </w:tc>
            </w:tr>
          </w:tbl>
          <w:p w14:paraId="407D350C"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BA05AA" w:rsidRDefault="00BA05AA" w:rsidP="00BA05AA"/>
          <w:p w14:paraId="7A325D01" w14:textId="77777777" w:rsidR="00BA05AA" w:rsidRPr="00BA05AA" w:rsidRDefault="00BA05AA" w:rsidP="00BA05AA"/>
        </w:tc>
      </w:tr>
    </w:tbl>
    <w:p w14:paraId="3EE12277" w14:textId="737247FD" w:rsidR="00BA05AA" w:rsidRPr="00BA05AA" w:rsidRDefault="00BA05AA" w:rsidP="00BA05AA">
      <w:pPr>
        <w:rPr>
          <w:i/>
          <w:iCs/>
          <w:sz w:val="20"/>
          <w:szCs w:val="20"/>
        </w:rPr>
      </w:pPr>
      <w:r w:rsidRPr="00BA05AA">
        <w:rPr>
          <w:i/>
          <w:iCs/>
          <w:sz w:val="20"/>
          <w:szCs w:val="20"/>
        </w:rPr>
        <w:t>White Wine:</w:t>
      </w:r>
    </w:p>
    <w:tbl>
      <w:tblPr>
        <w:tblW w:w="0" w:type="auto"/>
        <w:tblCellMar>
          <w:top w:w="15" w:type="dxa"/>
          <w:left w:w="15" w:type="dxa"/>
          <w:bottom w:w="15" w:type="dxa"/>
          <w:right w:w="15" w:type="dxa"/>
        </w:tblCellMar>
        <w:tblLook w:val="04A0" w:firstRow="1" w:lastRow="0" w:firstColumn="1" w:lastColumn="0" w:noHBand="0" w:noVBand="1"/>
      </w:tblPr>
      <w:tblGrid>
        <w:gridCol w:w="3137"/>
        <w:gridCol w:w="3037"/>
      </w:tblGrid>
      <w:tr w:rsidR="00BA05AA" w:rsidRPr="00BA05AA" w14:paraId="14FB8C6B" w14:textId="77777777" w:rsidTr="00BA05AA">
        <w:trPr>
          <w:trHeight w:val="627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BA05AA" w:rsidRDefault="00BA05AA" w:rsidP="00BA05AA"/>
          <w:tbl>
            <w:tblPr>
              <w:tblW w:w="0" w:type="auto"/>
              <w:tblCellMar>
                <w:top w:w="15" w:type="dxa"/>
                <w:left w:w="15" w:type="dxa"/>
                <w:bottom w:w="15" w:type="dxa"/>
                <w:right w:w="15" w:type="dxa"/>
              </w:tblCellMar>
              <w:tblLook w:val="04A0" w:firstRow="1" w:lastRow="0" w:firstColumn="1" w:lastColumn="0" w:noHBand="0" w:noVBand="1"/>
            </w:tblPr>
            <w:tblGrid>
              <w:gridCol w:w="1867"/>
              <w:gridCol w:w="1050"/>
            </w:tblGrid>
            <w:tr w:rsidR="00BA05AA" w:rsidRPr="00BA05AA" w14:paraId="1FB0811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99878"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26E9" w14:textId="77777777" w:rsidR="00BA05AA" w:rsidRPr="00BA05AA" w:rsidRDefault="00BA05AA" w:rsidP="00BA05AA">
                  <w:r w:rsidRPr="00BA05AA">
                    <w:rPr>
                      <w:color w:val="000000"/>
                      <w:sz w:val="20"/>
                      <w:szCs w:val="20"/>
                    </w:rPr>
                    <w:t>VIF</w:t>
                  </w:r>
                </w:p>
              </w:tc>
            </w:tr>
            <w:tr w:rsidR="00BA05AA" w:rsidRPr="00BA05AA" w14:paraId="761C48F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58EB9"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2599" w14:textId="77777777" w:rsidR="00BA05AA" w:rsidRPr="00BA05AA" w:rsidRDefault="00BA05AA" w:rsidP="00BA05AA">
                  <w:r w:rsidRPr="00BA05AA">
                    <w:rPr>
                      <w:color w:val="000000"/>
                      <w:sz w:val="20"/>
                      <w:szCs w:val="20"/>
                    </w:rPr>
                    <w:t>1.828567</w:t>
                  </w:r>
                </w:p>
              </w:tc>
            </w:tr>
            <w:tr w:rsidR="00BA05AA" w:rsidRPr="00BA05AA" w14:paraId="1AB6D26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9C53"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1FF95" w14:textId="77777777" w:rsidR="00BA05AA" w:rsidRPr="00BA05AA" w:rsidRDefault="00BA05AA" w:rsidP="00BA05AA">
                  <w:r w:rsidRPr="00BA05AA">
                    <w:rPr>
                      <w:color w:val="000000"/>
                      <w:sz w:val="20"/>
                      <w:szCs w:val="20"/>
                    </w:rPr>
                    <w:t>1.156441</w:t>
                  </w:r>
                </w:p>
              </w:tc>
            </w:tr>
            <w:tr w:rsidR="00BA05AA" w:rsidRPr="00BA05AA" w14:paraId="4A13044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2294E"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79384" w14:textId="77777777" w:rsidR="00BA05AA" w:rsidRPr="00BA05AA" w:rsidRDefault="00BA05AA" w:rsidP="00BA05AA">
                  <w:r w:rsidRPr="00BA05AA">
                    <w:rPr>
                      <w:color w:val="000000"/>
                      <w:sz w:val="20"/>
                      <w:szCs w:val="20"/>
                    </w:rPr>
                    <w:t>1.153274</w:t>
                  </w:r>
                </w:p>
              </w:tc>
            </w:tr>
            <w:tr w:rsidR="00BA05AA" w:rsidRPr="00BA05AA" w14:paraId="24D9336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AD2D"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81D2" w14:textId="77777777" w:rsidR="00BA05AA" w:rsidRPr="00BA05AA" w:rsidRDefault="00BA05AA" w:rsidP="00BA05AA">
                  <w:r w:rsidRPr="00BA05AA">
                    <w:rPr>
                      <w:color w:val="000000"/>
                      <w:sz w:val="20"/>
                      <w:szCs w:val="20"/>
                    </w:rPr>
                    <w:t>4.542915</w:t>
                  </w:r>
                </w:p>
              </w:tc>
            </w:tr>
            <w:tr w:rsidR="00BA05AA" w:rsidRPr="00BA05AA" w14:paraId="5B6DCAC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AF4A"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27E8C" w14:textId="77777777" w:rsidR="00BA05AA" w:rsidRPr="00BA05AA" w:rsidRDefault="00BA05AA" w:rsidP="00BA05AA">
                  <w:r w:rsidRPr="00BA05AA">
                    <w:rPr>
                      <w:color w:val="000000"/>
                      <w:sz w:val="20"/>
                      <w:szCs w:val="20"/>
                    </w:rPr>
                    <w:t>1.393057</w:t>
                  </w:r>
                </w:p>
              </w:tc>
            </w:tr>
            <w:tr w:rsidR="00BA05AA" w:rsidRPr="00BA05AA" w14:paraId="595DA52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03C0"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9819" w14:textId="77777777" w:rsidR="00BA05AA" w:rsidRPr="00BA05AA" w:rsidRDefault="00BA05AA" w:rsidP="00BA05AA">
                  <w:r w:rsidRPr="00BA05AA">
                    <w:rPr>
                      <w:color w:val="000000"/>
                      <w:sz w:val="20"/>
                      <w:szCs w:val="20"/>
                    </w:rPr>
                    <w:t>1.736008</w:t>
                  </w:r>
                </w:p>
              </w:tc>
            </w:tr>
            <w:tr w:rsidR="00BA05AA" w:rsidRPr="00BA05AA" w14:paraId="1E5F862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60AEE"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E4D7D" w14:textId="77777777" w:rsidR="00BA05AA" w:rsidRPr="00BA05AA" w:rsidRDefault="00BA05AA" w:rsidP="00BA05AA">
                  <w:r w:rsidRPr="00BA05AA">
                    <w:rPr>
                      <w:color w:val="000000"/>
                      <w:sz w:val="20"/>
                      <w:szCs w:val="20"/>
                    </w:rPr>
                    <w:t>2.199714</w:t>
                  </w:r>
                </w:p>
              </w:tc>
            </w:tr>
            <w:tr w:rsidR="00BA05AA" w:rsidRPr="00BA05AA" w14:paraId="6FBB2CF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A8CE3" w14:textId="77777777" w:rsidR="00BA05AA" w:rsidRPr="00BA05AA" w:rsidRDefault="00BA05AA" w:rsidP="00BA05AA">
                  <w:r w:rsidRPr="00BA05AA">
                    <w:rPr>
                      <w:color w:val="000000"/>
                      <w:sz w:val="20"/>
                      <w:szCs w:val="20"/>
                    </w:rPr>
                    <w:t>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BD0EF" w14:textId="77777777" w:rsidR="00BA05AA" w:rsidRPr="00BA05AA" w:rsidRDefault="00BA05AA" w:rsidP="00BA05AA">
                  <w:r w:rsidRPr="00BA05AA">
                    <w:rPr>
                      <w:color w:val="000000"/>
                      <w:sz w:val="20"/>
                      <w:szCs w:val="20"/>
                    </w:rPr>
                    <w:t>10.357201</w:t>
                  </w:r>
                </w:p>
              </w:tc>
            </w:tr>
            <w:tr w:rsidR="00BA05AA" w:rsidRPr="00BA05AA" w14:paraId="413DBBC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8551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6C70" w14:textId="77777777" w:rsidR="00BA05AA" w:rsidRPr="00BA05AA" w:rsidRDefault="00BA05AA" w:rsidP="00BA05AA">
                  <w:r w:rsidRPr="00BA05AA">
                    <w:rPr>
                      <w:color w:val="000000"/>
                      <w:sz w:val="20"/>
                      <w:szCs w:val="20"/>
                    </w:rPr>
                    <w:t>1.586563</w:t>
                  </w:r>
                </w:p>
              </w:tc>
            </w:tr>
            <w:tr w:rsidR="00BA05AA" w:rsidRPr="00BA05AA" w14:paraId="352FAE3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EEB8"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B029B" w14:textId="77777777" w:rsidR="00BA05AA" w:rsidRPr="00BA05AA" w:rsidRDefault="00BA05AA" w:rsidP="00BA05AA">
                  <w:r w:rsidRPr="00BA05AA">
                    <w:rPr>
                      <w:color w:val="000000"/>
                      <w:sz w:val="20"/>
                      <w:szCs w:val="20"/>
                    </w:rPr>
                    <w:t>1.098830</w:t>
                  </w:r>
                </w:p>
              </w:tc>
            </w:tr>
            <w:tr w:rsidR="00BA05AA" w:rsidRPr="00BA05AA" w14:paraId="6D7E7BF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BD093"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4149" w14:textId="77777777" w:rsidR="00BA05AA" w:rsidRPr="00BA05AA" w:rsidRDefault="00BA05AA" w:rsidP="00BA05AA">
                  <w:r w:rsidRPr="00BA05AA">
                    <w:rPr>
                      <w:color w:val="000000"/>
                      <w:sz w:val="20"/>
                      <w:szCs w:val="20"/>
                    </w:rPr>
                    <w:t>4.587571</w:t>
                  </w:r>
                </w:p>
              </w:tc>
            </w:tr>
          </w:tbl>
          <w:p w14:paraId="28668E12"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BA05AA" w:rsidRDefault="00BA05AA" w:rsidP="00BA05AA"/>
          <w:tbl>
            <w:tblP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71B8FEF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DB31"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2B867" w14:textId="77777777" w:rsidR="00BA05AA" w:rsidRPr="00BA05AA" w:rsidRDefault="00BA05AA" w:rsidP="00BA05AA">
                  <w:r w:rsidRPr="00BA05AA">
                    <w:rPr>
                      <w:color w:val="000000"/>
                      <w:sz w:val="20"/>
                      <w:szCs w:val="20"/>
                    </w:rPr>
                    <w:t>VIF</w:t>
                  </w:r>
                </w:p>
              </w:tc>
            </w:tr>
            <w:tr w:rsidR="00BA05AA" w:rsidRPr="00BA05AA" w14:paraId="0D4F6CE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9DD0"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26D4" w14:textId="77777777" w:rsidR="00BA05AA" w:rsidRPr="00BA05AA" w:rsidRDefault="00BA05AA" w:rsidP="00BA05AA">
                  <w:r w:rsidRPr="00BA05AA">
                    <w:rPr>
                      <w:color w:val="000000"/>
                      <w:sz w:val="20"/>
                      <w:szCs w:val="20"/>
                    </w:rPr>
                    <w:t>1.348393</w:t>
                  </w:r>
                </w:p>
              </w:tc>
            </w:tr>
            <w:tr w:rsidR="00BA05AA" w:rsidRPr="00BA05AA" w14:paraId="2592C415"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2BF1A"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A1DB6" w14:textId="77777777" w:rsidR="00BA05AA" w:rsidRPr="00BA05AA" w:rsidRDefault="00BA05AA" w:rsidP="00BA05AA">
                  <w:r w:rsidRPr="00BA05AA">
                    <w:rPr>
                      <w:color w:val="000000"/>
                      <w:sz w:val="20"/>
                      <w:szCs w:val="20"/>
                    </w:rPr>
                    <w:t>1.155812</w:t>
                  </w:r>
                </w:p>
              </w:tc>
            </w:tr>
            <w:tr w:rsidR="00BA05AA" w:rsidRPr="00BA05AA" w14:paraId="0DE259CA"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921DD"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D2A8" w14:textId="77777777" w:rsidR="00BA05AA" w:rsidRPr="00BA05AA" w:rsidRDefault="00BA05AA" w:rsidP="00BA05AA">
                  <w:r w:rsidRPr="00BA05AA">
                    <w:rPr>
                      <w:color w:val="000000"/>
                      <w:sz w:val="20"/>
                      <w:szCs w:val="20"/>
                    </w:rPr>
                    <w:t>1.143687</w:t>
                  </w:r>
                </w:p>
              </w:tc>
            </w:tr>
            <w:tr w:rsidR="00BA05AA" w:rsidRPr="00BA05AA" w14:paraId="0F0D5017"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B5D4B"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E7F4" w14:textId="77777777" w:rsidR="00BA05AA" w:rsidRPr="00BA05AA" w:rsidRDefault="00BA05AA" w:rsidP="00BA05AA">
                  <w:r w:rsidRPr="00BA05AA">
                    <w:rPr>
                      <w:color w:val="000000"/>
                      <w:sz w:val="20"/>
                      <w:szCs w:val="20"/>
                    </w:rPr>
                    <w:t>1.401792</w:t>
                  </w:r>
                </w:p>
              </w:tc>
            </w:tr>
            <w:tr w:rsidR="00BA05AA" w:rsidRPr="00BA05AA" w14:paraId="57227067"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2AAC"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B152" w14:textId="77777777" w:rsidR="00BA05AA" w:rsidRPr="00BA05AA" w:rsidRDefault="00BA05AA" w:rsidP="00BA05AA">
                  <w:r w:rsidRPr="00BA05AA">
                    <w:rPr>
                      <w:color w:val="000000"/>
                      <w:sz w:val="20"/>
                      <w:szCs w:val="20"/>
                    </w:rPr>
                    <w:t>1.380040</w:t>
                  </w:r>
                </w:p>
              </w:tc>
            </w:tr>
            <w:tr w:rsidR="00BA05AA" w:rsidRPr="00BA05AA" w14:paraId="48A54623" w14:textId="77777777" w:rsidTr="00BA05AA">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8C"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19A9E" w14:textId="77777777" w:rsidR="00BA05AA" w:rsidRPr="00BA05AA" w:rsidRDefault="00BA05AA" w:rsidP="00BA05AA">
                  <w:r w:rsidRPr="00BA05AA">
                    <w:rPr>
                      <w:color w:val="000000"/>
                      <w:sz w:val="20"/>
                      <w:szCs w:val="20"/>
                    </w:rPr>
                    <w:t>1.718938</w:t>
                  </w:r>
                </w:p>
              </w:tc>
            </w:tr>
            <w:tr w:rsidR="00BA05AA" w:rsidRPr="00BA05AA" w14:paraId="08199782"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08309"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FAD55" w14:textId="77777777" w:rsidR="00BA05AA" w:rsidRPr="00BA05AA" w:rsidRDefault="00BA05AA" w:rsidP="00BA05AA">
                  <w:r w:rsidRPr="00BA05AA">
                    <w:rPr>
                      <w:color w:val="000000"/>
                      <w:sz w:val="20"/>
                      <w:szCs w:val="20"/>
                    </w:rPr>
                    <w:t>2.178811</w:t>
                  </w:r>
                </w:p>
              </w:tc>
            </w:tr>
            <w:tr w:rsidR="00BA05AA" w:rsidRPr="00BA05AA" w14:paraId="69E685DC"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2D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DC049" w14:textId="77777777" w:rsidR="00BA05AA" w:rsidRPr="00BA05AA" w:rsidRDefault="00BA05AA" w:rsidP="00BA05AA">
                  <w:r w:rsidRPr="00BA05AA">
                    <w:rPr>
                      <w:color w:val="000000"/>
                      <w:sz w:val="20"/>
                      <w:szCs w:val="20"/>
                    </w:rPr>
                    <w:t>1.325385</w:t>
                  </w:r>
                </w:p>
              </w:tc>
            </w:tr>
            <w:tr w:rsidR="00BA05AA" w:rsidRPr="00BA05AA" w14:paraId="17B7033C"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A44DA"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49AB" w14:textId="77777777" w:rsidR="00BA05AA" w:rsidRPr="00BA05AA" w:rsidRDefault="00BA05AA" w:rsidP="00BA05AA">
                  <w:r w:rsidRPr="00BA05AA">
                    <w:rPr>
                      <w:color w:val="000000"/>
                      <w:sz w:val="20"/>
                      <w:szCs w:val="20"/>
                    </w:rPr>
                    <w:t>1.068640</w:t>
                  </w:r>
                </w:p>
              </w:tc>
            </w:tr>
            <w:tr w:rsidR="00BA05AA" w:rsidRPr="00BA05AA" w14:paraId="2CB041F7"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3CDAA"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EDCB" w14:textId="77777777" w:rsidR="00BA05AA" w:rsidRPr="00BA05AA" w:rsidRDefault="00BA05AA" w:rsidP="00BA05AA">
                  <w:r w:rsidRPr="00BA05AA">
                    <w:rPr>
                      <w:color w:val="000000"/>
                      <w:sz w:val="20"/>
                      <w:szCs w:val="20"/>
                    </w:rPr>
                    <w:t>1.749781</w:t>
                  </w:r>
                </w:p>
              </w:tc>
            </w:tr>
          </w:tbl>
          <w:p w14:paraId="00DF6392" w14:textId="77777777" w:rsidR="00BA05AA" w:rsidRPr="00BA05AA" w:rsidRDefault="00BA05AA" w:rsidP="00BA05AA"/>
        </w:tc>
      </w:tr>
    </w:tbl>
    <w:p w14:paraId="701DA1A8" w14:textId="77777777" w:rsidR="00BA05AA" w:rsidRPr="00CD2B41" w:rsidRDefault="00BA05AA" w:rsidP="00406211">
      <w:pPr>
        <w:rPr>
          <w:rFonts w:ascii="Times" w:hAnsi="Times"/>
          <w:sz w:val="20"/>
          <w:szCs w:val="20"/>
        </w:rPr>
      </w:pPr>
    </w:p>
    <w:sectPr w:rsidR="00BA05AA" w:rsidRPr="00CD2B41" w:rsidSect="00BA05AA">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89C20" w14:textId="77777777" w:rsidR="00A6135E" w:rsidRDefault="00A6135E" w:rsidP="00406211">
      <w:r>
        <w:separator/>
      </w:r>
    </w:p>
  </w:endnote>
  <w:endnote w:type="continuationSeparator" w:id="0">
    <w:p w14:paraId="197F2169" w14:textId="77777777" w:rsidR="00A6135E" w:rsidRDefault="00A6135E"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ὀƊ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F6EE1" w14:textId="77777777" w:rsidR="00A6135E" w:rsidRDefault="00A6135E" w:rsidP="00406211">
      <w:r>
        <w:separator/>
      </w:r>
    </w:p>
  </w:footnote>
  <w:footnote w:type="continuationSeparator" w:id="0">
    <w:p w14:paraId="60FCE0E2" w14:textId="77777777" w:rsidR="00A6135E" w:rsidRDefault="00A6135E" w:rsidP="00406211">
      <w:r>
        <w:continuationSeparator/>
      </w:r>
    </w:p>
  </w:footnote>
  <w:footnote w:id="1">
    <w:p w14:paraId="22AC3FB8" w14:textId="77777777" w:rsidR="00CD2B41" w:rsidRPr="00CD2B41" w:rsidRDefault="00CD2B41"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CD2B41" w:rsidRDefault="00CD2B41">
      <w:pPr>
        <w:pStyle w:val="FootnoteText"/>
      </w:pPr>
    </w:p>
  </w:footnote>
  <w:footnote w:id="2">
    <w:p w14:paraId="30915FDA" w14:textId="77777777" w:rsidR="00CD2B41" w:rsidRPr="00CD2B41" w:rsidRDefault="00CD2B41"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CD2B41" w:rsidRDefault="00CD2B41">
      <w:pPr>
        <w:pStyle w:val="FootnoteText"/>
      </w:pPr>
    </w:p>
  </w:footnote>
  <w:footnote w:id="3">
    <w:p w14:paraId="11BAA002" w14:textId="77777777" w:rsidR="00CD2B41" w:rsidRPr="00CD2B41" w:rsidRDefault="00CD2B41"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CD2B41" w:rsidRDefault="00CD2B41">
      <w:pPr>
        <w:pStyle w:val="FootnoteText"/>
      </w:pPr>
    </w:p>
  </w:footnote>
  <w:footnote w:id="4">
    <w:p w14:paraId="50A583B2" w14:textId="77777777" w:rsidR="00BA05AA" w:rsidRPr="00BA05AA" w:rsidRDefault="00BA05AA"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BA05AA" w:rsidRDefault="00BA05AA">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131228"/>
    <w:rsid w:val="001B6376"/>
    <w:rsid w:val="001E38C6"/>
    <w:rsid w:val="002D6957"/>
    <w:rsid w:val="002F2300"/>
    <w:rsid w:val="0038650F"/>
    <w:rsid w:val="00387A27"/>
    <w:rsid w:val="00406211"/>
    <w:rsid w:val="00424F51"/>
    <w:rsid w:val="00590ADA"/>
    <w:rsid w:val="005B1EC9"/>
    <w:rsid w:val="007B2582"/>
    <w:rsid w:val="007C6E76"/>
    <w:rsid w:val="007F79E3"/>
    <w:rsid w:val="00957CE9"/>
    <w:rsid w:val="00993129"/>
    <w:rsid w:val="009E3602"/>
    <w:rsid w:val="00A6135E"/>
    <w:rsid w:val="00AC2BBE"/>
    <w:rsid w:val="00AC5082"/>
    <w:rsid w:val="00B4289D"/>
    <w:rsid w:val="00BA05AA"/>
    <w:rsid w:val="00C013D6"/>
    <w:rsid w:val="00C258F1"/>
    <w:rsid w:val="00CD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3D6"/>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semiHidden/>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2513C70C-2C9C-5D49-A460-3039AD83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10</cp:revision>
  <dcterms:created xsi:type="dcterms:W3CDTF">2020-11-14T20:04:00Z</dcterms:created>
  <dcterms:modified xsi:type="dcterms:W3CDTF">2020-12-02T13:58:00Z</dcterms:modified>
</cp:coreProperties>
</file>