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138.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45.xml" ContentType="application/vnd.ms-office.activeX+xml"/>
  <Override PartName="/word/activeX/activeX163.xml" ContentType="application/vnd.ms-office.activeX+xml"/>
  <Override PartName="/word/activeX/activeX174.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34.xml" ContentType="application/vnd.ms-office.activeX+xml"/>
  <Override PartName="/word/activeX/activeX152.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41.xml" ContentType="application/vnd.ms-office.activeX+xml"/>
  <Override PartName="/word/activeX/activeX170.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Override PartName="/word/activeX/activeX179.xml" ContentType="application/vnd.ms-office.activeX+xml"/>
  <Default Extension="bin" ContentType="application/vnd.ms-office.activeX"/>
  <Override PartName="/word/activeX/activeX89.xml" ContentType="application/vnd.ms-office.activeX+xml"/>
  <Override PartName="/word/activeX/activeX139.xml" ContentType="application/vnd.ms-office.activeX+xml"/>
  <Override PartName="/word/activeX/activeX168.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157.xml" ContentType="application/vnd.ms-office.activeX+xml"/>
  <Override PartName="/word/activeX/activeX175.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6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word/activeX/activeX171.xml" ContentType="application/vnd.ms-office.activeX+xml"/>
  <Override PartName="/docProps/app.xml" ContentType="application/vnd.openxmlformats-officedocument.extended-properties+xml"/>
  <Override PartName="/word/activeX/activeX34.xml" ContentType="application/vnd.ms-office.activeX+xml"/>
  <Override PartName="/word/activeX/activeX52.xml" ContentType="application/vnd.ms-office.activeX+xml"/>
  <Override PartName="/word/activeX/activeX81.xml" ContentType="application/vnd.ms-office.activeX+xml"/>
  <Override PartName="/word/activeX/activeX113.xml" ContentType="application/vnd.ms-office.activeX+xml"/>
  <Override PartName="/word/activeX/activeX131.xml" ContentType="application/vnd.ms-office.activeX+xml"/>
  <Override PartName="/word/activeX/activeX160.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Default Extension="jpeg" ContentType="image/jpeg"/>
  <Override PartName="/word/activeX/activeX173.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8.xml" ContentType="application/vnd.ms-office.activeX+xml"/>
  <Override PartName="/word/activeX/activeX149.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30" w:type="dxa"/>
          <w:left w:w="30" w:type="dxa"/>
          <w:bottom w:w="30" w:type="dxa"/>
          <w:right w:w="30" w:type="dxa"/>
        </w:tblCellMar>
        <w:tblLook w:val="04A0"/>
      </w:tblPr>
      <w:tblGrid>
        <w:gridCol w:w="420"/>
        <w:gridCol w:w="625"/>
        <w:gridCol w:w="7108"/>
        <w:gridCol w:w="96"/>
        <w:gridCol w:w="96"/>
        <w:gridCol w:w="111"/>
      </w:tblGrid>
      <w:tr w:rsidR="00B21C6C" w:rsidRPr="00B21C6C" w:rsidTr="00B21C6C">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21C6C" w:rsidRPr="00B21C6C" w:rsidRDefault="00B21C6C" w:rsidP="00B21C6C">
            <w:pPr>
              <w:widowControl/>
              <w:jc w:val="left"/>
              <w:rPr>
                <w:rFonts w:ascii="Segoe UI" w:eastAsia="宋体" w:hAnsi="Segoe UI" w:cs="Segoe UI"/>
                <w:b/>
                <w:bCs/>
                <w:color w:val="000000"/>
                <w:kern w:val="0"/>
                <w:sz w:val="18"/>
                <w:szCs w:val="18"/>
              </w:rPr>
            </w:pPr>
            <w:r w:rsidRPr="00B21C6C">
              <w:rPr>
                <w:rFonts w:ascii="Segoe UI" w:eastAsia="宋体" w:hAnsi="Segoe UI" w:cs="Segoe UI"/>
                <w:b/>
                <w:bCs/>
                <w:color w:val="000000"/>
                <w:kern w:val="0"/>
                <w:sz w:val="18"/>
                <w:szCs w:val="18"/>
              </w:rPr>
              <w:t>1</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21C6C" w:rsidRPr="00B21C6C" w:rsidRDefault="00B21C6C" w:rsidP="00B21C6C">
            <w:pPr>
              <w:widowControl/>
              <w:jc w:val="left"/>
              <w:rPr>
                <w:rFonts w:ascii="Segoe UI" w:eastAsia="宋体" w:hAnsi="Segoe UI" w:cs="Segoe UI"/>
                <w:color w:val="333333"/>
                <w:kern w:val="0"/>
                <w:sz w:val="18"/>
                <w:szCs w:val="18"/>
              </w:rPr>
            </w:pPr>
            <w:r w:rsidRPr="00B21C6C">
              <w:rPr>
                <w:rFonts w:ascii="Segoe UI" w:eastAsia="宋体" w:hAnsi="Segoe UI" w:cs="Segoe UI"/>
                <w:color w:val="333333"/>
                <w:kern w:val="0"/>
                <w:sz w:val="18"/>
                <w:szCs w:val="18"/>
              </w:rPr>
              <w:t xml:space="preserve">Which of the following </w:t>
            </w:r>
            <w:r w:rsidRPr="00B21C6C">
              <w:rPr>
                <w:rFonts w:ascii="Segoe UI" w:eastAsia="宋体" w:hAnsi="Segoe UI" w:cs="Segoe UI"/>
                <w:i/>
                <w:iCs/>
                <w:color w:val="333333"/>
                <w:kern w:val="0"/>
                <w:sz w:val="18"/>
                <w:szCs w:val="18"/>
              </w:rPr>
              <w:t>least likely</w:t>
            </w:r>
            <w:r w:rsidRPr="00B21C6C">
              <w:rPr>
                <w:rFonts w:ascii="Segoe UI" w:eastAsia="宋体" w:hAnsi="Segoe UI" w:cs="Segoe UI"/>
                <w:color w:val="333333"/>
                <w:kern w:val="0"/>
                <w:sz w:val="18"/>
                <w:szCs w:val="18"/>
              </w:rPr>
              <w:t xml:space="preserve"> reflects the two primary principles of the CFA Institute Rules of Procedure for Professional Conduct?</w:t>
            </w:r>
          </w:p>
        </w:tc>
      </w:tr>
      <w:tr w:rsidR="00B21C6C" w:rsidRPr="00B21C6C" w:rsidTr="00B21C6C">
        <w:trPr>
          <w:trHeight w:val="525"/>
          <w:tblCellSpacing w:w="15" w:type="dxa"/>
        </w:trPr>
        <w:tc>
          <w:tcPr>
            <w:tcW w:w="375" w:type="dxa"/>
            <w:vAlign w:val="center"/>
            <w:hideMark/>
          </w:tcPr>
          <w:p w:rsidR="00B21C6C" w:rsidRPr="00B21C6C" w:rsidRDefault="00B21C6C" w:rsidP="00B21C6C">
            <w:pPr>
              <w:widowControl/>
              <w:jc w:val="left"/>
              <w:rPr>
                <w:rFonts w:ascii="Segoe UI" w:eastAsia="宋体" w:hAnsi="Segoe UI" w:cs="Segoe UI"/>
                <w:color w:val="333333"/>
                <w:kern w:val="0"/>
                <w:sz w:val="18"/>
                <w:szCs w:val="18"/>
              </w:rPr>
            </w:pPr>
            <w:r w:rsidRPr="00B21C6C">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21C6C" w:rsidRPr="00B21C6C" w:rsidRDefault="00B21C6C" w:rsidP="00B21C6C">
            <w:pPr>
              <w:widowControl/>
              <w:jc w:val="center"/>
              <w:rPr>
                <w:rFonts w:ascii="Segoe UI" w:eastAsia="宋体" w:hAnsi="Segoe UI" w:cs="Segoe UI"/>
                <w:color w:val="000000"/>
                <w:kern w:val="0"/>
                <w:sz w:val="18"/>
                <w:szCs w:val="18"/>
              </w:rPr>
            </w:pPr>
            <w:r w:rsidRPr="00B21C6C">
              <w:rPr>
                <w:rFonts w:ascii="Segoe UI" w:eastAsia="宋体" w:hAnsi="Segoe UI" w:cs="Segoe UI"/>
                <w:color w:val="000000"/>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5.75pt" o:ole="">
                  <v:imagedata r:id="rId7" o:title=""/>
                </v:shape>
                <w:control r:id="rId8" w:name="DefaultOcxName" w:shapeid="_x0000_i103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21C6C" w:rsidRPr="00B21C6C" w:rsidRDefault="00B21C6C" w:rsidP="00B21C6C">
            <w:pPr>
              <w:widowControl/>
              <w:jc w:val="left"/>
              <w:rPr>
                <w:rFonts w:ascii="Segoe UI" w:eastAsia="宋体" w:hAnsi="Segoe UI" w:cs="Segoe UI"/>
                <w:color w:val="000000"/>
                <w:kern w:val="0"/>
                <w:sz w:val="18"/>
                <w:szCs w:val="18"/>
              </w:rPr>
            </w:pPr>
            <w:r w:rsidRPr="00B21C6C">
              <w:rPr>
                <w:rFonts w:ascii="Segoe UI" w:eastAsia="宋体" w:hAnsi="Segoe UI" w:cs="Segoe UI"/>
                <w:b/>
                <w:bCs/>
                <w:color w:val="000000"/>
                <w:kern w:val="0"/>
                <w:sz w:val="18"/>
                <w:szCs w:val="18"/>
              </w:rPr>
              <w:t>A.</w:t>
            </w:r>
            <w:r w:rsidRPr="00B21C6C">
              <w:rPr>
                <w:rFonts w:ascii="Segoe UI" w:eastAsia="宋体" w:hAnsi="Segoe UI" w:cs="Segoe UI"/>
                <w:color w:val="000000"/>
                <w:kern w:val="0"/>
                <w:sz w:val="18"/>
                <w:szCs w:val="18"/>
              </w:rPr>
              <w:t xml:space="preserve"> Confidentiality of proceedings</w:t>
            </w: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r>
      <w:tr w:rsidR="00B21C6C" w:rsidRPr="00B21C6C" w:rsidTr="00B21C6C">
        <w:trPr>
          <w:trHeight w:val="525"/>
          <w:tblCellSpacing w:w="15" w:type="dxa"/>
        </w:trPr>
        <w:tc>
          <w:tcPr>
            <w:tcW w:w="375" w:type="dxa"/>
            <w:vAlign w:val="center"/>
            <w:hideMark/>
          </w:tcPr>
          <w:p w:rsidR="00B21C6C" w:rsidRPr="00B21C6C" w:rsidRDefault="00B21C6C" w:rsidP="00B21C6C">
            <w:pPr>
              <w:widowControl/>
              <w:jc w:val="left"/>
              <w:rPr>
                <w:rFonts w:ascii="Segoe UI" w:eastAsia="宋体" w:hAnsi="Segoe UI" w:cs="Segoe UI"/>
                <w:color w:val="333333"/>
                <w:kern w:val="0"/>
                <w:sz w:val="18"/>
                <w:szCs w:val="18"/>
              </w:rPr>
            </w:pPr>
            <w:r w:rsidRPr="00B21C6C">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21C6C" w:rsidRPr="00B21C6C" w:rsidRDefault="00B21C6C" w:rsidP="00B21C6C">
            <w:pPr>
              <w:widowControl/>
              <w:jc w:val="center"/>
              <w:rPr>
                <w:rFonts w:ascii="Segoe UI" w:eastAsia="宋体" w:hAnsi="Segoe UI" w:cs="Segoe UI"/>
                <w:color w:val="000000"/>
                <w:kern w:val="0"/>
                <w:sz w:val="18"/>
                <w:szCs w:val="18"/>
              </w:rPr>
            </w:pPr>
            <w:r w:rsidRPr="00B21C6C">
              <w:rPr>
                <w:rFonts w:ascii="Segoe UI" w:eastAsia="宋体" w:hAnsi="Segoe UI" w:cs="Segoe UI"/>
                <w:color w:val="000000"/>
                <w:kern w:val="0"/>
                <w:sz w:val="18"/>
                <w:szCs w:val="18"/>
              </w:rPr>
              <w:object w:dxaOrig="1440" w:dyaOrig="1440">
                <v:shape id="_x0000_i1032" type="#_x0000_t75" style="width:20.25pt;height:15.75pt" o:ole="">
                  <v:imagedata r:id="rId9" o:title=""/>
                </v:shape>
                <w:control r:id="rId10" w:name="DefaultOcxName1" w:shapeid="_x0000_i103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21C6C" w:rsidRPr="00B21C6C" w:rsidRDefault="00B21C6C" w:rsidP="00B21C6C">
            <w:pPr>
              <w:widowControl/>
              <w:jc w:val="left"/>
              <w:rPr>
                <w:rFonts w:ascii="Segoe UI" w:eastAsia="宋体" w:hAnsi="Segoe UI" w:cs="Segoe UI"/>
                <w:color w:val="000000"/>
                <w:kern w:val="0"/>
                <w:sz w:val="18"/>
                <w:szCs w:val="18"/>
              </w:rPr>
            </w:pPr>
            <w:r w:rsidRPr="00B21C6C">
              <w:rPr>
                <w:rFonts w:ascii="Segoe UI" w:eastAsia="宋体" w:hAnsi="Segoe UI" w:cs="Segoe UI"/>
                <w:b/>
                <w:bCs/>
                <w:color w:val="000000"/>
                <w:kern w:val="0"/>
                <w:sz w:val="18"/>
                <w:szCs w:val="18"/>
              </w:rPr>
              <w:t>B.</w:t>
            </w:r>
            <w:r w:rsidRPr="00B21C6C">
              <w:rPr>
                <w:rFonts w:ascii="Segoe UI" w:eastAsia="宋体" w:hAnsi="Segoe UI" w:cs="Segoe UI"/>
                <w:color w:val="000000"/>
                <w:kern w:val="0"/>
                <w:sz w:val="18"/>
                <w:szCs w:val="18"/>
              </w:rPr>
              <w:t xml:space="preserve"> Fair process to the member and candidate</w:t>
            </w: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r>
      <w:tr w:rsidR="00B21C6C" w:rsidRPr="00B21C6C" w:rsidTr="00B21C6C">
        <w:trPr>
          <w:trHeight w:val="525"/>
          <w:tblCellSpacing w:w="15" w:type="dxa"/>
        </w:trPr>
        <w:tc>
          <w:tcPr>
            <w:tcW w:w="375" w:type="dxa"/>
            <w:vAlign w:val="center"/>
            <w:hideMark/>
          </w:tcPr>
          <w:p w:rsidR="00B21C6C" w:rsidRPr="00B21C6C" w:rsidRDefault="00B21C6C" w:rsidP="00B21C6C">
            <w:pPr>
              <w:widowControl/>
              <w:jc w:val="left"/>
              <w:rPr>
                <w:rFonts w:ascii="Segoe UI" w:eastAsia="宋体" w:hAnsi="Segoe UI" w:cs="Segoe UI"/>
                <w:color w:val="333333"/>
                <w:kern w:val="0"/>
                <w:sz w:val="18"/>
                <w:szCs w:val="18"/>
              </w:rPr>
            </w:pPr>
            <w:r w:rsidRPr="00B21C6C">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21C6C" w:rsidRPr="00B21C6C" w:rsidRDefault="00B21C6C" w:rsidP="00B21C6C">
            <w:pPr>
              <w:widowControl/>
              <w:jc w:val="center"/>
              <w:rPr>
                <w:rFonts w:ascii="Segoe UI" w:eastAsia="宋体" w:hAnsi="Segoe UI" w:cs="Segoe UI"/>
                <w:color w:val="000000"/>
                <w:kern w:val="0"/>
                <w:sz w:val="18"/>
                <w:szCs w:val="18"/>
              </w:rPr>
            </w:pPr>
            <w:r w:rsidRPr="00B21C6C">
              <w:rPr>
                <w:rFonts w:ascii="Segoe UI" w:eastAsia="宋体" w:hAnsi="Segoe UI" w:cs="Segoe UI"/>
                <w:color w:val="000000"/>
                <w:kern w:val="0"/>
                <w:sz w:val="18"/>
                <w:szCs w:val="18"/>
              </w:rPr>
              <w:object w:dxaOrig="1440" w:dyaOrig="1440">
                <v:shape id="_x0000_i1031" type="#_x0000_t75" style="width:20.25pt;height:15.75pt" o:ole="">
                  <v:imagedata r:id="rId9" o:title=""/>
                </v:shape>
                <w:control r:id="rId11" w:name="DefaultOcxName2" w:shapeid="_x0000_i103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21C6C" w:rsidRPr="00B21C6C" w:rsidRDefault="00B21C6C" w:rsidP="00B21C6C">
            <w:pPr>
              <w:widowControl/>
              <w:jc w:val="left"/>
              <w:rPr>
                <w:rFonts w:ascii="Segoe UI" w:eastAsia="宋体" w:hAnsi="Segoe UI" w:cs="Segoe UI"/>
                <w:color w:val="000000"/>
                <w:kern w:val="0"/>
                <w:sz w:val="18"/>
                <w:szCs w:val="18"/>
              </w:rPr>
            </w:pPr>
            <w:r w:rsidRPr="00B21C6C">
              <w:rPr>
                <w:rFonts w:ascii="Segoe UI" w:eastAsia="宋体" w:hAnsi="Segoe UI" w:cs="Segoe UI"/>
                <w:b/>
                <w:bCs/>
                <w:color w:val="000000"/>
                <w:kern w:val="0"/>
                <w:sz w:val="18"/>
                <w:szCs w:val="18"/>
              </w:rPr>
              <w:t>C.</w:t>
            </w:r>
            <w:r w:rsidRPr="00B21C6C">
              <w:rPr>
                <w:rFonts w:ascii="Segoe UI" w:eastAsia="宋体" w:hAnsi="Segoe UI" w:cs="Segoe UI"/>
                <w:color w:val="000000"/>
                <w:kern w:val="0"/>
                <w:sz w:val="18"/>
                <w:szCs w:val="18"/>
              </w:rPr>
              <w:t xml:space="preserve"> Public disclosure of disciplinary sanctions</w:t>
            </w: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r>
      <w:tr w:rsidR="00B21C6C" w:rsidRPr="00B21C6C" w:rsidTr="00B21C6C">
        <w:trPr>
          <w:trHeight w:val="525"/>
          <w:tblCellSpacing w:w="15" w:type="dxa"/>
        </w:trPr>
        <w:tc>
          <w:tcPr>
            <w:tcW w:w="375" w:type="dxa"/>
            <w:noWrap/>
            <w:vAlign w:val="center"/>
            <w:hideMark/>
          </w:tcPr>
          <w:p w:rsidR="00B21C6C" w:rsidRPr="00B21C6C" w:rsidRDefault="00B21C6C" w:rsidP="00B21C6C">
            <w:pPr>
              <w:widowControl/>
              <w:jc w:val="center"/>
              <w:rPr>
                <w:rFonts w:ascii="Segoe UI" w:eastAsia="宋体" w:hAnsi="Segoe UI" w:cs="Segoe UI"/>
                <w:color w:val="333333"/>
                <w:kern w:val="0"/>
                <w:sz w:val="18"/>
                <w:szCs w:val="18"/>
              </w:rPr>
            </w:pPr>
            <w:r w:rsidRPr="00B21C6C">
              <w:rPr>
                <w:rFonts w:ascii="Segoe UI" w:eastAsia="宋体" w:hAnsi="Segoe UI" w:cs="Segoe UI"/>
                <w:color w:val="333333"/>
                <w:kern w:val="0"/>
                <w:sz w:val="18"/>
                <w:szCs w:val="18"/>
              </w:rPr>
              <w:t> </w:t>
            </w:r>
          </w:p>
        </w:tc>
        <w:tc>
          <w:tcPr>
            <w:tcW w:w="0" w:type="auto"/>
            <w:gridSpan w:val="5"/>
            <w:shd w:val="clear" w:color="auto" w:fill="FF6347"/>
            <w:vAlign w:val="center"/>
            <w:hideMark/>
          </w:tcPr>
          <w:p w:rsidR="00B21C6C" w:rsidRPr="00B21C6C" w:rsidRDefault="00B21C6C" w:rsidP="00B21C6C">
            <w:pPr>
              <w:widowControl/>
              <w:jc w:val="left"/>
              <w:rPr>
                <w:rFonts w:ascii="Segoe UI" w:eastAsia="宋体" w:hAnsi="Segoe UI" w:cs="Segoe UI"/>
                <w:color w:val="333333"/>
                <w:kern w:val="0"/>
                <w:sz w:val="18"/>
                <w:szCs w:val="18"/>
              </w:rPr>
            </w:pPr>
            <w:r w:rsidRPr="00B21C6C">
              <w:rPr>
                <w:rFonts w:ascii="Segoe UI" w:eastAsia="宋体" w:hAnsi="Segoe UI" w:cs="Segoe UI"/>
                <w:b/>
                <w:bCs/>
                <w:color w:val="000080"/>
                <w:kern w:val="0"/>
                <w:sz w:val="16"/>
                <w:szCs w:val="16"/>
              </w:rPr>
              <w:t>Feedback:</w:t>
            </w:r>
            <w:r w:rsidRPr="00B21C6C">
              <w:rPr>
                <w:rFonts w:ascii="Segoe UI" w:eastAsia="宋体" w:hAnsi="Segoe UI" w:cs="Segoe UI"/>
                <w:color w:val="333333"/>
                <w:kern w:val="0"/>
                <w:sz w:val="18"/>
                <w:szCs w:val="18"/>
              </w:rPr>
              <w:t xml:space="preserve"> You have answered incorrectly.</w:t>
            </w:r>
            <w:r w:rsidRPr="00B21C6C">
              <w:rPr>
                <w:rFonts w:ascii="Segoe UI" w:eastAsia="宋体" w:hAnsi="Segoe UI" w:cs="Segoe UI"/>
                <w:color w:val="333333"/>
                <w:kern w:val="0"/>
                <w:sz w:val="18"/>
                <w:szCs w:val="18"/>
              </w:rPr>
              <w:br/>
            </w:r>
            <w:r w:rsidRPr="00B21C6C">
              <w:rPr>
                <w:rFonts w:ascii="Segoe UI" w:eastAsia="宋体" w:hAnsi="Segoe UI" w:cs="Segoe UI"/>
                <w:color w:val="333333"/>
                <w:kern w:val="0"/>
                <w:sz w:val="18"/>
                <w:szCs w:val="18"/>
              </w:rPr>
              <w:br/>
              <w:t xml:space="preserve">Correct answer: </w:t>
            </w:r>
            <w:r w:rsidRPr="00B21C6C">
              <w:rPr>
                <w:rFonts w:ascii="Segoe UI" w:eastAsia="宋体" w:hAnsi="Segoe UI" w:cs="Segoe UI"/>
                <w:b/>
                <w:bCs/>
                <w:color w:val="333333"/>
                <w:kern w:val="0"/>
                <w:sz w:val="18"/>
                <w:szCs w:val="18"/>
              </w:rPr>
              <w:t>C</w:t>
            </w:r>
            <w:r w:rsidRPr="00B21C6C">
              <w:rPr>
                <w:rFonts w:ascii="Segoe UI" w:eastAsia="宋体" w:hAnsi="Segoe UI" w:cs="Segoe UI"/>
                <w:color w:val="333333"/>
                <w:kern w:val="0"/>
                <w:sz w:val="18"/>
                <w:szCs w:val="18"/>
              </w:rPr>
              <w:br/>
            </w:r>
            <w:r w:rsidRPr="00B21C6C">
              <w:rPr>
                <w:rFonts w:ascii="Segoe UI" w:eastAsia="宋体" w:hAnsi="Segoe UI" w:cs="Segoe UI"/>
                <w:color w:val="333333"/>
                <w:kern w:val="0"/>
                <w:sz w:val="18"/>
                <w:szCs w:val="18"/>
              </w:rPr>
              <w:br/>
              <w:t>"Code of Ethics and Standards of Professional Conduct," CFA Institute</w:t>
            </w:r>
            <w:r w:rsidRPr="00B21C6C">
              <w:rPr>
                <w:rFonts w:ascii="Segoe UI" w:eastAsia="宋体" w:hAnsi="Segoe UI" w:cs="Segoe UI"/>
                <w:color w:val="333333"/>
                <w:kern w:val="0"/>
                <w:sz w:val="18"/>
                <w:szCs w:val="18"/>
              </w:rPr>
              <w:br/>
              <w:t>2011 Modular Level I, Vol. 1, p. 8</w:t>
            </w:r>
            <w:r w:rsidRPr="00B21C6C">
              <w:rPr>
                <w:rFonts w:ascii="Segoe UI" w:eastAsia="宋体" w:hAnsi="Segoe UI" w:cs="Segoe UI"/>
                <w:color w:val="333333"/>
                <w:kern w:val="0"/>
                <w:sz w:val="18"/>
                <w:szCs w:val="18"/>
              </w:rPr>
              <w:br/>
              <w:t>Study Session 1–1–a</w:t>
            </w:r>
            <w:r w:rsidRPr="00B21C6C">
              <w:rPr>
                <w:rFonts w:ascii="Segoe UI" w:eastAsia="宋体" w:hAnsi="Segoe UI" w:cs="Segoe UI"/>
                <w:color w:val="333333"/>
                <w:kern w:val="0"/>
                <w:sz w:val="18"/>
                <w:szCs w:val="18"/>
              </w:rPr>
              <w:br/>
              <w:t>Describe the structure of the CFA Institute Professional Conduct Program and the process for the enforcement of the Code and Standards.</w:t>
            </w:r>
            <w:r w:rsidRPr="00B21C6C">
              <w:rPr>
                <w:rFonts w:ascii="Segoe UI" w:eastAsia="宋体" w:hAnsi="Segoe UI" w:cs="Segoe UI"/>
                <w:color w:val="333333"/>
                <w:kern w:val="0"/>
                <w:sz w:val="18"/>
                <w:szCs w:val="18"/>
              </w:rPr>
              <w:br/>
            </w:r>
            <w:r w:rsidRPr="00B21C6C">
              <w:rPr>
                <w:rFonts w:ascii="Segoe UI" w:eastAsia="宋体" w:hAnsi="Segoe UI" w:cs="Segoe UI"/>
                <w:color w:val="333333"/>
                <w:kern w:val="0"/>
                <w:sz w:val="18"/>
                <w:szCs w:val="18"/>
              </w:rPr>
              <w:br/>
              <w:t>The two principles of the Rules of Procedure for Professional Conduct are confidentiality of proceedings and fair process to the member and candidate. </w:t>
            </w:r>
          </w:p>
        </w:tc>
      </w:tr>
    </w:tbl>
    <w:p w:rsidR="003B106F" w:rsidRDefault="003B106F">
      <w:pPr>
        <w:rPr>
          <w:rFonts w:hint="eastAsia"/>
        </w:rPr>
      </w:pPr>
    </w:p>
    <w:tbl>
      <w:tblPr>
        <w:tblW w:w="5000" w:type="pct"/>
        <w:tblCellSpacing w:w="15" w:type="dxa"/>
        <w:tblCellMar>
          <w:top w:w="30" w:type="dxa"/>
          <w:left w:w="30" w:type="dxa"/>
          <w:bottom w:w="30" w:type="dxa"/>
          <w:right w:w="30" w:type="dxa"/>
        </w:tblCellMar>
        <w:tblLook w:val="04A0"/>
      </w:tblPr>
      <w:tblGrid>
        <w:gridCol w:w="420"/>
        <w:gridCol w:w="765"/>
        <w:gridCol w:w="6968"/>
        <w:gridCol w:w="96"/>
        <w:gridCol w:w="96"/>
        <w:gridCol w:w="111"/>
      </w:tblGrid>
      <w:tr w:rsidR="00B21C6C" w:rsidRPr="00B21C6C" w:rsidTr="00B21C6C">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21C6C" w:rsidRPr="00B21C6C" w:rsidRDefault="00B21C6C" w:rsidP="00B21C6C">
            <w:pPr>
              <w:widowControl/>
              <w:jc w:val="left"/>
              <w:rPr>
                <w:rFonts w:ascii="Segoe UI" w:eastAsia="宋体" w:hAnsi="Segoe UI" w:cs="Segoe UI"/>
                <w:b/>
                <w:bCs/>
                <w:color w:val="000000"/>
                <w:kern w:val="0"/>
                <w:sz w:val="18"/>
                <w:szCs w:val="18"/>
              </w:rPr>
            </w:pPr>
            <w:r w:rsidRPr="00B21C6C">
              <w:rPr>
                <w:rFonts w:ascii="Segoe UI" w:eastAsia="宋体" w:hAnsi="Segoe UI" w:cs="Segoe UI"/>
                <w:b/>
                <w:bCs/>
                <w:color w:val="000000"/>
                <w:kern w:val="0"/>
                <w:sz w:val="18"/>
                <w:szCs w:val="18"/>
              </w:rPr>
              <w:t>2</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21C6C" w:rsidRPr="00B21C6C" w:rsidRDefault="00B21C6C" w:rsidP="00B21C6C">
            <w:pPr>
              <w:widowControl/>
              <w:jc w:val="left"/>
              <w:rPr>
                <w:rFonts w:ascii="Segoe UI" w:eastAsia="宋体" w:hAnsi="Segoe UI" w:cs="Segoe UI"/>
                <w:color w:val="333333"/>
                <w:kern w:val="0"/>
                <w:sz w:val="18"/>
                <w:szCs w:val="18"/>
              </w:rPr>
            </w:pPr>
            <w:r w:rsidRPr="00B21C6C">
              <w:rPr>
                <w:rFonts w:ascii="Segoe UI" w:eastAsia="宋体" w:hAnsi="Segoe UI" w:cs="Segoe UI"/>
                <w:color w:val="333333"/>
                <w:kern w:val="0"/>
                <w:sz w:val="18"/>
                <w:szCs w:val="18"/>
              </w:rPr>
              <w:t xml:space="preserve">Fundamental Asset Managers (FAM) claims compliance with the CFA Institute Global Investment Performance Standards (GIPS®) and manages both discretionary and nondiscretionary accounts. </w:t>
            </w:r>
            <w:proofErr w:type="spellStart"/>
            <w:r w:rsidRPr="00B21C6C">
              <w:rPr>
                <w:rFonts w:ascii="Segoe UI" w:eastAsia="宋体" w:hAnsi="Segoe UI" w:cs="Segoe UI"/>
                <w:color w:val="333333"/>
                <w:kern w:val="0"/>
                <w:sz w:val="18"/>
                <w:szCs w:val="18"/>
              </w:rPr>
              <w:t>Juma</w:t>
            </w:r>
            <w:proofErr w:type="spellEnd"/>
            <w:r w:rsidRPr="00B21C6C">
              <w:rPr>
                <w:rFonts w:ascii="Segoe UI" w:eastAsia="宋体" w:hAnsi="Segoe UI" w:cs="Segoe UI"/>
                <w:color w:val="333333"/>
                <w:kern w:val="0"/>
                <w:sz w:val="18"/>
                <w:szCs w:val="18"/>
              </w:rPr>
              <w:t xml:space="preserve"> </w:t>
            </w:r>
            <w:proofErr w:type="spellStart"/>
            <w:r w:rsidRPr="00B21C6C">
              <w:rPr>
                <w:rFonts w:ascii="Segoe UI" w:eastAsia="宋体" w:hAnsi="Segoe UI" w:cs="Segoe UI"/>
                <w:color w:val="333333"/>
                <w:kern w:val="0"/>
                <w:sz w:val="18"/>
                <w:szCs w:val="18"/>
              </w:rPr>
              <w:t>Dzuya</w:t>
            </w:r>
            <w:proofErr w:type="spellEnd"/>
            <w:r w:rsidRPr="00B21C6C">
              <w:rPr>
                <w:rFonts w:ascii="Segoe UI" w:eastAsia="宋体" w:hAnsi="Segoe UI" w:cs="Segoe UI"/>
                <w:color w:val="333333"/>
                <w:kern w:val="0"/>
                <w:sz w:val="18"/>
                <w:szCs w:val="18"/>
              </w:rPr>
              <w:t xml:space="preserve">, CFA, includes all discretionary, fee-paying value and growth accounts when constructing a composite for FAM. Does the composite </w:t>
            </w:r>
            <w:proofErr w:type="spellStart"/>
            <w:r w:rsidRPr="00B21C6C">
              <w:rPr>
                <w:rFonts w:ascii="Segoe UI" w:eastAsia="宋体" w:hAnsi="Segoe UI" w:cs="Segoe UI"/>
                <w:color w:val="333333"/>
                <w:kern w:val="0"/>
                <w:sz w:val="18"/>
                <w:szCs w:val="18"/>
              </w:rPr>
              <w:t>Dzuya</w:t>
            </w:r>
            <w:proofErr w:type="spellEnd"/>
            <w:r w:rsidRPr="00B21C6C">
              <w:rPr>
                <w:rFonts w:ascii="Segoe UI" w:eastAsia="宋体" w:hAnsi="Segoe UI" w:cs="Segoe UI"/>
                <w:color w:val="333333"/>
                <w:kern w:val="0"/>
                <w:sz w:val="18"/>
                <w:szCs w:val="18"/>
              </w:rPr>
              <w:t xml:space="preserve"> constructed </w:t>
            </w:r>
            <w:r w:rsidRPr="00B21C6C">
              <w:rPr>
                <w:rFonts w:ascii="Segoe UI" w:eastAsia="宋体" w:hAnsi="Segoe UI" w:cs="Segoe UI"/>
                <w:i/>
                <w:iCs/>
                <w:color w:val="333333"/>
                <w:kern w:val="0"/>
                <w:sz w:val="18"/>
                <w:szCs w:val="18"/>
              </w:rPr>
              <w:t>most likely</w:t>
            </w:r>
            <w:r w:rsidRPr="00B21C6C">
              <w:rPr>
                <w:rFonts w:ascii="Segoe UI" w:eastAsia="宋体" w:hAnsi="Segoe UI" w:cs="Segoe UI"/>
                <w:color w:val="333333"/>
                <w:kern w:val="0"/>
                <w:sz w:val="18"/>
                <w:szCs w:val="18"/>
              </w:rPr>
              <w:t xml:space="preserve"> meet GIPS criteria?</w:t>
            </w:r>
          </w:p>
        </w:tc>
      </w:tr>
      <w:tr w:rsidR="00B21C6C" w:rsidRPr="00B21C6C" w:rsidTr="00B21C6C">
        <w:trPr>
          <w:trHeight w:val="525"/>
          <w:tblCellSpacing w:w="15" w:type="dxa"/>
        </w:trPr>
        <w:tc>
          <w:tcPr>
            <w:tcW w:w="375" w:type="dxa"/>
            <w:vAlign w:val="center"/>
            <w:hideMark/>
          </w:tcPr>
          <w:p w:rsidR="00B21C6C" w:rsidRPr="00B21C6C" w:rsidRDefault="00B21C6C" w:rsidP="00B21C6C">
            <w:pPr>
              <w:widowControl/>
              <w:jc w:val="left"/>
              <w:rPr>
                <w:rFonts w:ascii="Segoe UI" w:eastAsia="宋体" w:hAnsi="Segoe UI" w:cs="Segoe UI"/>
                <w:color w:val="333333"/>
                <w:kern w:val="0"/>
                <w:sz w:val="18"/>
                <w:szCs w:val="18"/>
              </w:rPr>
            </w:pPr>
            <w:r w:rsidRPr="00B21C6C">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21C6C" w:rsidRPr="00B21C6C" w:rsidRDefault="00B21C6C" w:rsidP="00B21C6C">
            <w:pPr>
              <w:widowControl/>
              <w:jc w:val="center"/>
              <w:rPr>
                <w:rFonts w:ascii="Segoe UI" w:eastAsia="宋体" w:hAnsi="Segoe UI" w:cs="Segoe UI"/>
                <w:color w:val="000000"/>
                <w:kern w:val="0"/>
                <w:sz w:val="18"/>
                <w:szCs w:val="18"/>
              </w:rPr>
            </w:pPr>
            <w:r w:rsidRPr="00B21C6C">
              <w:rPr>
                <w:rFonts w:ascii="Segoe UI" w:eastAsia="宋体" w:hAnsi="Segoe UI" w:cs="Segoe UI"/>
                <w:color w:val="000000"/>
                <w:kern w:val="0"/>
                <w:sz w:val="18"/>
                <w:szCs w:val="18"/>
              </w:rPr>
              <w:object w:dxaOrig="1440" w:dyaOrig="1440">
                <v:shape id="_x0000_i1042" type="#_x0000_t75" style="width:20.25pt;height:15.75pt" o:ole="">
                  <v:imagedata r:id="rId7" o:title=""/>
                </v:shape>
                <w:control r:id="rId12" w:name="DefaultOcxName3" w:shapeid="_x0000_i104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21C6C" w:rsidRPr="00B21C6C" w:rsidRDefault="00B21C6C" w:rsidP="00B21C6C">
            <w:pPr>
              <w:widowControl/>
              <w:jc w:val="left"/>
              <w:rPr>
                <w:rFonts w:ascii="Segoe UI" w:eastAsia="宋体" w:hAnsi="Segoe UI" w:cs="Segoe UI"/>
                <w:color w:val="000000"/>
                <w:kern w:val="0"/>
                <w:sz w:val="18"/>
                <w:szCs w:val="18"/>
              </w:rPr>
            </w:pPr>
            <w:r w:rsidRPr="00B21C6C">
              <w:rPr>
                <w:rFonts w:ascii="Segoe UI" w:eastAsia="宋体" w:hAnsi="Segoe UI" w:cs="Segoe UI"/>
                <w:b/>
                <w:bCs/>
                <w:color w:val="000000"/>
                <w:kern w:val="0"/>
                <w:sz w:val="18"/>
                <w:szCs w:val="18"/>
              </w:rPr>
              <w:t>A.</w:t>
            </w:r>
            <w:r w:rsidRPr="00B21C6C">
              <w:rPr>
                <w:rFonts w:ascii="Segoe UI" w:eastAsia="宋体" w:hAnsi="Segoe UI" w:cs="Segoe UI"/>
                <w:color w:val="000000"/>
                <w:kern w:val="0"/>
                <w:sz w:val="18"/>
                <w:szCs w:val="18"/>
              </w:rPr>
              <w:t xml:space="preserve"> Yes.</w:t>
            </w: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r>
      <w:tr w:rsidR="00B21C6C" w:rsidRPr="00B21C6C" w:rsidTr="00B21C6C">
        <w:trPr>
          <w:trHeight w:val="525"/>
          <w:tblCellSpacing w:w="15" w:type="dxa"/>
        </w:trPr>
        <w:tc>
          <w:tcPr>
            <w:tcW w:w="375" w:type="dxa"/>
            <w:vAlign w:val="center"/>
            <w:hideMark/>
          </w:tcPr>
          <w:p w:rsidR="00B21C6C" w:rsidRPr="00B21C6C" w:rsidRDefault="00B21C6C" w:rsidP="00B21C6C">
            <w:pPr>
              <w:widowControl/>
              <w:jc w:val="left"/>
              <w:rPr>
                <w:rFonts w:ascii="Segoe UI" w:eastAsia="宋体" w:hAnsi="Segoe UI" w:cs="Segoe UI"/>
                <w:color w:val="333333"/>
                <w:kern w:val="0"/>
                <w:sz w:val="18"/>
                <w:szCs w:val="18"/>
              </w:rPr>
            </w:pPr>
            <w:r w:rsidRPr="00B21C6C">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21C6C" w:rsidRPr="00B21C6C" w:rsidRDefault="00B21C6C" w:rsidP="00B21C6C">
            <w:pPr>
              <w:widowControl/>
              <w:jc w:val="center"/>
              <w:rPr>
                <w:rFonts w:ascii="Segoe UI" w:eastAsia="宋体" w:hAnsi="Segoe UI" w:cs="Segoe UI"/>
                <w:color w:val="000000"/>
                <w:kern w:val="0"/>
                <w:sz w:val="18"/>
                <w:szCs w:val="18"/>
              </w:rPr>
            </w:pPr>
            <w:r w:rsidRPr="00B21C6C">
              <w:rPr>
                <w:rFonts w:ascii="Segoe UI" w:eastAsia="宋体" w:hAnsi="Segoe UI" w:cs="Segoe UI"/>
                <w:color w:val="000000"/>
                <w:kern w:val="0"/>
                <w:sz w:val="18"/>
                <w:szCs w:val="18"/>
              </w:rPr>
              <w:object w:dxaOrig="1440" w:dyaOrig="1440">
                <v:shape id="_x0000_i1041" type="#_x0000_t75" style="width:20.25pt;height:15.75pt" o:ole="">
                  <v:imagedata r:id="rId9" o:title=""/>
                </v:shape>
                <w:control r:id="rId13" w:name="DefaultOcxName11" w:shapeid="_x0000_i104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21C6C" w:rsidRPr="00B21C6C" w:rsidRDefault="00B21C6C" w:rsidP="00B21C6C">
            <w:pPr>
              <w:widowControl/>
              <w:jc w:val="left"/>
              <w:rPr>
                <w:rFonts w:ascii="Segoe UI" w:eastAsia="宋体" w:hAnsi="Segoe UI" w:cs="Segoe UI"/>
                <w:color w:val="000000"/>
                <w:kern w:val="0"/>
                <w:sz w:val="18"/>
                <w:szCs w:val="18"/>
              </w:rPr>
            </w:pPr>
            <w:r w:rsidRPr="00B21C6C">
              <w:rPr>
                <w:rFonts w:ascii="Segoe UI" w:eastAsia="宋体" w:hAnsi="Segoe UI" w:cs="Segoe UI"/>
                <w:b/>
                <w:bCs/>
                <w:color w:val="000000"/>
                <w:kern w:val="0"/>
                <w:sz w:val="18"/>
                <w:szCs w:val="18"/>
              </w:rPr>
              <w:t>B.</w:t>
            </w:r>
            <w:r w:rsidRPr="00B21C6C">
              <w:rPr>
                <w:rFonts w:ascii="Segoe UI" w:eastAsia="宋体" w:hAnsi="Segoe UI" w:cs="Segoe UI"/>
                <w:color w:val="000000"/>
                <w:kern w:val="0"/>
                <w:sz w:val="18"/>
                <w:szCs w:val="18"/>
              </w:rPr>
              <w:t xml:space="preserve"> No, because value and growth accounts are included.</w:t>
            </w: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r>
      <w:tr w:rsidR="00B21C6C" w:rsidRPr="00B21C6C" w:rsidTr="00B21C6C">
        <w:trPr>
          <w:trHeight w:val="525"/>
          <w:tblCellSpacing w:w="15" w:type="dxa"/>
        </w:trPr>
        <w:tc>
          <w:tcPr>
            <w:tcW w:w="375" w:type="dxa"/>
            <w:vAlign w:val="center"/>
            <w:hideMark/>
          </w:tcPr>
          <w:p w:rsidR="00B21C6C" w:rsidRPr="00B21C6C" w:rsidRDefault="00B21C6C" w:rsidP="00B21C6C">
            <w:pPr>
              <w:widowControl/>
              <w:jc w:val="left"/>
              <w:rPr>
                <w:rFonts w:ascii="Segoe UI" w:eastAsia="宋体" w:hAnsi="Segoe UI" w:cs="Segoe UI"/>
                <w:color w:val="333333"/>
                <w:kern w:val="0"/>
                <w:sz w:val="18"/>
                <w:szCs w:val="18"/>
              </w:rPr>
            </w:pPr>
            <w:r w:rsidRPr="00B21C6C">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21C6C" w:rsidRPr="00B21C6C" w:rsidRDefault="00B21C6C" w:rsidP="00B21C6C">
            <w:pPr>
              <w:widowControl/>
              <w:jc w:val="center"/>
              <w:rPr>
                <w:rFonts w:ascii="Segoe UI" w:eastAsia="宋体" w:hAnsi="Segoe UI" w:cs="Segoe UI"/>
                <w:color w:val="000000"/>
                <w:kern w:val="0"/>
                <w:sz w:val="18"/>
                <w:szCs w:val="18"/>
              </w:rPr>
            </w:pPr>
            <w:r w:rsidRPr="00B21C6C">
              <w:rPr>
                <w:rFonts w:ascii="Segoe UI" w:eastAsia="宋体" w:hAnsi="Segoe UI" w:cs="Segoe UI"/>
                <w:color w:val="000000"/>
                <w:kern w:val="0"/>
                <w:sz w:val="18"/>
                <w:szCs w:val="18"/>
              </w:rPr>
              <w:object w:dxaOrig="1440" w:dyaOrig="1440">
                <v:shape id="_x0000_i1040" type="#_x0000_t75" style="width:20.25pt;height:15.75pt" o:ole="">
                  <v:imagedata r:id="rId9" o:title=""/>
                </v:shape>
                <w:control r:id="rId14" w:name="DefaultOcxName21" w:shapeid="_x0000_i104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21C6C" w:rsidRPr="00B21C6C" w:rsidRDefault="00B21C6C" w:rsidP="00B21C6C">
            <w:pPr>
              <w:widowControl/>
              <w:jc w:val="left"/>
              <w:rPr>
                <w:rFonts w:ascii="Segoe UI" w:eastAsia="宋体" w:hAnsi="Segoe UI" w:cs="Segoe UI"/>
                <w:color w:val="000000"/>
                <w:kern w:val="0"/>
                <w:sz w:val="18"/>
                <w:szCs w:val="18"/>
              </w:rPr>
            </w:pPr>
            <w:r w:rsidRPr="00B21C6C">
              <w:rPr>
                <w:rFonts w:ascii="Segoe UI" w:eastAsia="宋体" w:hAnsi="Segoe UI" w:cs="Segoe UI"/>
                <w:b/>
                <w:bCs/>
                <w:color w:val="000000"/>
                <w:kern w:val="0"/>
                <w:sz w:val="18"/>
                <w:szCs w:val="18"/>
              </w:rPr>
              <w:t>C.</w:t>
            </w:r>
            <w:r w:rsidRPr="00B21C6C">
              <w:rPr>
                <w:rFonts w:ascii="Segoe UI" w:eastAsia="宋体" w:hAnsi="Segoe UI" w:cs="Segoe UI"/>
                <w:color w:val="000000"/>
                <w:kern w:val="0"/>
                <w:sz w:val="18"/>
                <w:szCs w:val="18"/>
              </w:rPr>
              <w:t xml:space="preserve"> No, because nondiscretionary accounts are not included.</w:t>
            </w: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c>
          <w:tcPr>
            <w:tcW w:w="0" w:type="auto"/>
            <w:vAlign w:val="center"/>
            <w:hideMark/>
          </w:tcPr>
          <w:p w:rsidR="00B21C6C" w:rsidRPr="00B21C6C" w:rsidRDefault="00B21C6C" w:rsidP="00B21C6C">
            <w:pPr>
              <w:widowControl/>
              <w:jc w:val="left"/>
              <w:rPr>
                <w:rFonts w:ascii="Times New Roman" w:eastAsia="Times New Roman" w:hAnsi="Times New Roman" w:cs="Times New Roman"/>
                <w:kern w:val="0"/>
                <w:sz w:val="20"/>
                <w:szCs w:val="20"/>
              </w:rPr>
            </w:pPr>
          </w:p>
        </w:tc>
      </w:tr>
      <w:tr w:rsidR="00B21C6C" w:rsidRPr="00B21C6C" w:rsidTr="00B21C6C">
        <w:trPr>
          <w:trHeight w:val="525"/>
          <w:tblCellSpacing w:w="15" w:type="dxa"/>
        </w:trPr>
        <w:tc>
          <w:tcPr>
            <w:tcW w:w="375" w:type="dxa"/>
            <w:noWrap/>
            <w:vAlign w:val="center"/>
            <w:hideMark/>
          </w:tcPr>
          <w:p w:rsidR="00B21C6C" w:rsidRPr="00B21C6C" w:rsidRDefault="00B21C6C" w:rsidP="00B21C6C">
            <w:pPr>
              <w:widowControl/>
              <w:jc w:val="center"/>
              <w:rPr>
                <w:rFonts w:ascii="Segoe UI" w:eastAsia="宋体" w:hAnsi="Segoe UI" w:cs="Segoe UI"/>
                <w:color w:val="333333"/>
                <w:kern w:val="0"/>
                <w:sz w:val="18"/>
                <w:szCs w:val="18"/>
              </w:rPr>
            </w:pPr>
            <w:r w:rsidRPr="00B21C6C">
              <w:rPr>
                <w:rFonts w:ascii="Segoe UI" w:eastAsia="宋体" w:hAnsi="Segoe UI" w:cs="Segoe UI"/>
                <w:color w:val="333333"/>
                <w:kern w:val="0"/>
                <w:sz w:val="18"/>
                <w:szCs w:val="18"/>
              </w:rPr>
              <w:t> </w:t>
            </w:r>
          </w:p>
        </w:tc>
        <w:tc>
          <w:tcPr>
            <w:tcW w:w="0" w:type="auto"/>
            <w:gridSpan w:val="5"/>
            <w:shd w:val="clear" w:color="auto" w:fill="FF6347"/>
            <w:vAlign w:val="center"/>
            <w:hideMark/>
          </w:tcPr>
          <w:p w:rsidR="00B21C6C" w:rsidRPr="00B21C6C" w:rsidRDefault="00B21C6C" w:rsidP="00B21C6C">
            <w:pPr>
              <w:widowControl/>
              <w:jc w:val="left"/>
              <w:rPr>
                <w:rFonts w:ascii="Segoe UI" w:eastAsia="宋体" w:hAnsi="Segoe UI" w:cs="Segoe UI"/>
                <w:color w:val="333333"/>
                <w:kern w:val="0"/>
                <w:sz w:val="18"/>
                <w:szCs w:val="18"/>
              </w:rPr>
            </w:pPr>
            <w:r w:rsidRPr="00B21C6C">
              <w:rPr>
                <w:rFonts w:ascii="Segoe UI" w:eastAsia="宋体" w:hAnsi="Segoe UI" w:cs="Segoe UI"/>
                <w:b/>
                <w:bCs/>
                <w:color w:val="000080"/>
                <w:kern w:val="0"/>
                <w:sz w:val="16"/>
                <w:szCs w:val="16"/>
              </w:rPr>
              <w:t>Feedback:</w:t>
            </w:r>
            <w:r w:rsidRPr="00B21C6C">
              <w:rPr>
                <w:rFonts w:ascii="Segoe UI" w:eastAsia="宋体" w:hAnsi="Segoe UI" w:cs="Segoe UI"/>
                <w:color w:val="333333"/>
                <w:kern w:val="0"/>
                <w:sz w:val="18"/>
                <w:szCs w:val="18"/>
              </w:rPr>
              <w:t xml:space="preserve"> You have answered incorrectly.</w:t>
            </w:r>
            <w:r w:rsidRPr="00B21C6C">
              <w:rPr>
                <w:rFonts w:ascii="Segoe UI" w:eastAsia="宋体" w:hAnsi="Segoe UI" w:cs="Segoe UI"/>
                <w:color w:val="333333"/>
                <w:kern w:val="0"/>
                <w:sz w:val="18"/>
                <w:szCs w:val="18"/>
              </w:rPr>
              <w:br/>
            </w:r>
            <w:r w:rsidRPr="00B21C6C">
              <w:rPr>
                <w:rFonts w:ascii="Segoe UI" w:eastAsia="宋体" w:hAnsi="Segoe UI" w:cs="Segoe UI"/>
                <w:color w:val="333333"/>
                <w:kern w:val="0"/>
                <w:sz w:val="18"/>
                <w:szCs w:val="18"/>
              </w:rPr>
              <w:br/>
              <w:t xml:space="preserve">Correct answer: </w:t>
            </w:r>
            <w:r w:rsidRPr="00B21C6C">
              <w:rPr>
                <w:rFonts w:ascii="Segoe UI" w:eastAsia="宋体" w:hAnsi="Segoe UI" w:cs="Segoe UI"/>
                <w:b/>
                <w:bCs/>
                <w:color w:val="333333"/>
                <w:kern w:val="0"/>
                <w:sz w:val="18"/>
                <w:szCs w:val="18"/>
              </w:rPr>
              <w:t>B</w:t>
            </w:r>
            <w:r w:rsidRPr="00B21C6C">
              <w:rPr>
                <w:rFonts w:ascii="Segoe UI" w:eastAsia="宋体" w:hAnsi="Segoe UI" w:cs="Segoe UI"/>
                <w:color w:val="333333"/>
                <w:kern w:val="0"/>
                <w:sz w:val="18"/>
                <w:szCs w:val="18"/>
              </w:rPr>
              <w:br/>
            </w:r>
            <w:r w:rsidRPr="00B21C6C">
              <w:rPr>
                <w:rFonts w:ascii="Segoe UI" w:eastAsia="宋体" w:hAnsi="Segoe UI" w:cs="Segoe UI"/>
                <w:color w:val="333333"/>
                <w:kern w:val="0"/>
                <w:sz w:val="18"/>
                <w:szCs w:val="18"/>
              </w:rPr>
              <w:br/>
              <w:t>Introduction to the Global Investment Performance Standards (GIPS®), CFA Institute</w:t>
            </w:r>
            <w:r w:rsidRPr="00B21C6C">
              <w:rPr>
                <w:rFonts w:ascii="Segoe UI" w:eastAsia="宋体" w:hAnsi="Segoe UI" w:cs="Segoe UI"/>
                <w:color w:val="333333"/>
                <w:kern w:val="0"/>
                <w:sz w:val="18"/>
                <w:szCs w:val="18"/>
              </w:rPr>
              <w:br/>
              <w:t>2011 Modular Level I, Vol. 1, p. 173</w:t>
            </w:r>
            <w:r w:rsidRPr="00B21C6C">
              <w:rPr>
                <w:rFonts w:ascii="Segoe UI" w:eastAsia="宋体" w:hAnsi="Segoe UI" w:cs="Segoe UI"/>
                <w:color w:val="333333"/>
                <w:kern w:val="0"/>
                <w:sz w:val="18"/>
                <w:szCs w:val="18"/>
              </w:rPr>
              <w:br/>
              <w:t>Study Session 1–3–b</w:t>
            </w:r>
            <w:r w:rsidRPr="00B21C6C">
              <w:rPr>
                <w:rFonts w:ascii="Segoe UI" w:eastAsia="宋体" w:hAnsi="Segoe UI" w:cs="Segoe UI"/>
                <w:color w:val="333333"/>
                <w:kern w:val="0"/>
                <w:sz w:val="18"/>
                <w:szCs w:val="18"/>
              </w:rPr>
              <w:br/>
              <w:t>Explain the construction and purpose of composites in performance reporting.</w:t>
            </w:r>
            <w:r w:rsidRPr="00B21C6C">
              <w:rPr>
                <w:rFonts w:ascii="Segoe UI" w:eastAsia="宋体" w:hAnsi="Segoe UI" w:cs="Segoe UI"/>
                <w:color w:val="333333"/>
                <w:kern w:val="0"/>
                <w:sz w:val="18"/>
                <w:szCs w:val="18"/>
              </w:rPr>
              <w:br/>
            </w:r>
            <w:r w:rsidRPr="00B21C6C">
              <w:rPr>
                <w:rFonts w:ascii="Segoe UI" w:eastAsia="宋体" w:hAnsi="Segoe UI" w:cs="Segoe UI"/>
                <w:color w:val="333333"/>
                <w:kern w:val="0"/>
                <w:sz w:val="18"/>
                <w:szCs w:val="18"/>
              </w:rPr>
              <w:lastRenderedPageBreak/>
              <w:br/>
              <w:t xml:space="preserve">A composite must include all actual, fee-paying, discretionary portfolios managed in accordance with the same investment mandate, objective, or strategy. By including </w:t>
            </w:r>
            <w:proofErr w:type="gramStart"/>
            <w:r w:rsidRPr="00B21C6C">
              <w:rPr>
                <w:rFonts w:ascii="Segoe UI" w:eastAsia="宋体" w:hAnsi="Segoe UI" w:cs="Segoe UI"/>
                <w:color w:val="333333"/>
                <w:kern w:val="0"/>
                <w:sz w:val="18"/>
                <w:szCs w:val="18"/>
              </w:rPr>
              <w:t>both value</w:t>
            </w:r>
            <w:proofErr w:type="gramEnd"/>
            <w:r w:rsidRPr="00B21C6C">
              <w:rPr>
                <w:rFonts w:ascii="Segoe UI" w:eastAsia="宋体" w:hAnsi="Segoe UI" w:cs="Segoe UI"/>
                <w:color w:val="333333"/>
                <w:kern w:val="0"/>
                <w:sz w:val="18"/>
                <w:szCs w:val="18"/>
              </w:rPr>
              <w:t xml:space="preserve"> and growth accounts, the composite is made up of portfolios with different investment mandates or strategies. </w:t>
            </w:r>
          </w:p>
        </w:tc>
      </w:tr>
    </w:tbl>
    <w:p w:rsidR="00B21C6C" w:rsidRDefault="00B21C6C">
      <w:pPr>
        <w:rPr>
          <w:rFonts w:hint="eastAsia"/>
        </w:rPr>
      </w:pPr>
    </w:p>
    <w:tbl>
      <w:tblPr>
        <w:tblW w:w="5000" w:type="pct"/>
        <w:tblCellSpacing w:w="15" w:type="dxa"/>
        <w:tblCellMar>
          <w:top w:w="30" w:type="dxa"/>
          <w:left w:w="30" w:type="dxa"/>
          <w:bottom w:w="30" w:type="dxa"/>
          <w:right w:w="30" w:type="dxa"/>
        </w:tblCellMar>
        <w:tblLook w:val="04A0"/>
      </w:tblPr>
      <w:tblGrid>
        <w:gridCol w:w="420"/>
        <w:gridCol w:w="775"/>
        <w:gridCol w:w="6958"/>
        <w:gridCol w:w="96"/>
        <w:gridCol w:w="96"/>
        <w:gridCol w:w="111"/>
      </w:tblGrid>
      <w:tr w:rsidR="00B5744D" w:rsidRPr="00B5744D" w:rsidTr="00B5744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5744D" w:rsidRPr="00B5744D" w:rsidRDefault="00B5744D" w:rsidP="00B5744D">
            <w:pPr>
              <w:widowControl/>
              <w:jc w:val="left"/>
              <w:rPr>
                <w:rFonts w:ascii="Segoe UI" w:eastAsia="宋体" w:hAnsi="Segoe UI" w:cs="Segoe UI"/>
                <w:b/>
                <w:bCs/>
                <w:color w:val="000000"/>
                <w:kern w:val="0"/>
                <w:sz w:val="18"/>
                <w:szCs w:val="18"/>
              </w:rPr>
            </w:pPr>
            <w:r w:rsidRPr="00B5744D">
              <w:rPr>
                <w:rFonts w:ascii="Segoe UI" w:eastAsia="宋体" w:hAnsi="Segoe UI" w:cs="Segoe UI"/>
                <w:b/>
                <w:bCs/>
                <w:color w:val="000000"/>
                <w:kern w:val="0"/>
                <w:sz w:val="18"/>
                <w:szCs w:val="18"/>
              </w:rPr>
              <w:t>3</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5744D" w:rsidRPr="00B5744D" w:rsidRDefault="00B5744D" w:rsidP="00B5744D">
            <w:pPr>
              <w:widowControl/>
              <w:jc w:val="left"/>
              <w:rPr>
                <w:rFonts w:ascii="Segoe UI" w:eastAsia="宋体" w:hAnsi="Segoe UI" w:cs="Segoe UI"/>
                <w:color w:val="333333"/>
                <w:kern w:val="0"/>
                <w:sz w:val="18"/>
                <w:szCs w:val="18"/>
              </w:rPr>
            </w:pPr>
            <w:proofErr w:type="spellStart"/>
            <w:r w:rsidRPr="00B5744D">
              <w:rPr>
                <w:rFonts w:ascii="Segoe UI" w:eastAsia="宋体" w:hAnsi="Segoe UI" w:cs="Segoe UI"/>
                <w:color w:val="333333"/>
                <w:kern w:val="0"/>
                <w:sz w:val="18"/>
                <w:szCs w:val="18"/>
              </w:rPr>
              <w:t>Adira</w:t>
            </w:r>
            <w:proofErr w:type="spellEnd"/>
            <w:r w:rsidRPr="00B5744D">
              <w:rPr>
                <w:rFonts w:ascii="Segoe UI" w:eastAsia="宋体" w:hAnsi="Segoe UI" w:cs="Segoe UI"/>
                <w:color w:val="333333"/>
                <w:kern w:val="0"/>
                <w:sz w:val="18"/>
                <w:szCs w:val="18"/>
              </w:rPr>
              <w:t xml:space="preserve"> </w:t>
            </w:r>
            <w:proofErr w:type="spellStart"/>
            <w:r w:rsidRPr="00B5744D">
              <w:rPr>
                <w:rFonts w:ascii="Segoe UI" w:eastAsia="宋体" w:hAnsi="Segoe UI" w:cs="Segoe UI"/>
                <w:color w:val="333333"/>
                <w:kern w:val="0"/>
                <w:sz w:val="18"/>
                <w:szCs w:val="18"/>
              </w:rPr>
              <w:t>Badawi</w:t>
            </w:r>
            <w:proofErr w:type="spellEnd"/>
            <w:r w:rsidRPr="00B5744D">
              <w:rPr>
                <w:rFonts w:ascii="Segoe UI" w:eastAsia="宋体" w:hAnsi="Segoe UI" w:cs="Segoe UI"/>
                <w:color w:val="333333"/>
                <w:kern w:val="0"/>
                <w:sz w:val="18"/>
                <w:szCs w:val="18"/>
              </w:rPr>
              <w:t xml:space="preserve">, CFA, who owns a research and consulting company, is an independent board member of a leading cement manufacturer in a small local market. Based on </w:t>
            </w:r>
            <w:proofErr w:type="spellStart"/>
            <w:r w:rsidRPr="00B5744D">
              <w:rPr>
                <w:rFonts w:ascii="Segoe UI" w:eastAsia="宋体" w:hAnsi="Segoe UI" w:cs="Segoe UI"/>
                <w:color w:val="333333"/>
                <w:kern w:val="0"/>
                <w:sz w:val="18"/>
                <w:szCs w:val="18"/>
              </w:rPr>
              <w:t>Badawi’s</w:t>
            </w:r>
            <w:proofErr w:type="spellEnd"/>
            <w:r w:rsidRPr="00B5744D">
              <w:rPr>
                <w:rFonts w:ascii="Segoe UI" w:eastAsia="宋体" w:hAnsi="Segoe UI" w:cs="Segoe UI"/>
                <w:color w:val="333333"/>
                <w:kern w:val="0"/>
                <w:sz w:val="18"/>
                <w:szCs w:val="18"/>
              </w:rPr>
              <w:t xml:space="preserve"> expertise in the cement industry, a foreign cement manufacturer looking to enter the local market has hired him to undertake a feasibility study. Under what circumstances can </w:t>
            </w:r>
            <w:proofErr w:type="spellStart"/>
            <w:r w:rsidRPr="00B5744D">
              <w:rPr>
                <w:rFonts w:ascii="Segoe UI" w:eastAsia="宋体" w:hAnsi="Segoe UI" w:cs="Segoe UI"/>
                <w:color w:val="333333"/>
                <w:kern w:val="0"/>
                <w:sz w:val="18"/>
                <w:szCs w:val="18"/>
              </w:rPr>
              <w:t>Badawi</w:t>
            </w:r>
            <w:proofErr w:type="spellEnd"/>
            <w:r w:rsidRPr="00B5744D">
              <w:rPr>
                <w:rFonts w:ascii="Segoe UI" w:eastAsia="宋体" w:hAnsi="Segoe UI" w:cs="Segoe UI"/>
                <w:color w:val="333333"/>
                <w:kern w:val="0"/>
                <w:sz w:val="18"/>
                <w:szCs w:val="18"/>
              </w:rPr>
              <w:t xml:space="preserve"> </w:t>
            </w:r>
            <w:r w:rsidRPr="00B5744D">
              <w:rPr>
                <w:rFonts w:ascii="Segoe UI" w:eastAsia="宋体" w:hAnsi="Segoe UI" w:cs="Segoe UI"/>
                <w:i/>
                <w:iCs/>
                <w:color w:val="333333"/>
                <w:kern w:val="0"/>
                <w:sz w:val="18"/>
                <w:szCs w:val="18"/>
              </w:rPr>
              <w:t>most likely</w:t>
            </w:r>
            <w:r w:rsidRPr="00B5744D">
              <w:rPr>
                <w:rFonts w:ascii="Segoe UI" w:eastAsia="宋体" w:hAnsi="Segoe UI" w:cs="Segoe UI"/>
                <w:color w:val="333333"/>
                <w:kern w:val="0"/>
                <w:sz w:val="18"/>
                <w:szCs w:val="18"/>
              </w:rPr>
              <w:t xml:space="preserve"> undertake the assignment without violating the CFA Code of Ethics and Standards of Professional Conduct?</w:t>
            </w:r>
          </w:p>
        </w:tc>
      </w:tr>
      <w:tr w:rsidR="00B5744D" w:rsidRPr="00B5744D" w:rsidTr="00B5744D">
        <w:trPr>
          <w:trHeight w:val="525"/>
          <w:tblCellSpacing w:w="15" w:type="dxa"/>
        </w:trPr>
        <w:tc>
          <w:tcPr>
            <w:tcW w:w="375" w:type="dxa"/>
            <w:vAlign w:val="center"/>
            <w:hideMark/>
          </w:tcPr>
          <w:p w:rsidR="00B5744D" w:rsidRPr="00B5744D" w:rsidRDefault="00B5744D" w:rsidP="00B5744D">
            <w:pPr>
              <w:widowControl/>
              <w:jc w:val="left"/>
              <w:rPr>
                <w:rFonts w:ascii="Segoe UI" w:eastAsia="宋体" w:hAnsi="Segoe UI" w:cs="Segoe UI"/>
                <w:color w:val="333333"/>
                <w:kern w:val="0"/>
                <w:sz w:val="18"/>
                <w:szCs w:val="18"/>
              </w:rPr>
            </w:pPr>
            <w:r w:rsidRPr="00B5744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5744D" w:rsidRPr="00B5744D" w:rsidRDefault="00B5744D" w:rsidP="00B5744D">
            <w:pPr>
              <w:widowControl/>
              <w:jc w:val="center"/>
              <w:rPr>
                <w:rFonts w:ascii="Segoe UI" w:eastAsia="宋体" w:hAnsi="Segoe UI" w:cs="Segoe UI"/>
                <w:color w:val="000000"/>
                <w:kern w:val="0"/>
                <w:sz w:val="18"/>
                <w:szCs w:val="18"/>
              </w:rPr>
            </w:pPr>
            <w:r w:rsidRPr="00B5744D">
              <w:rPr>
                <w:rFonts w:ascii="Segoe UI" w:eastAsia="宋体" w:hAnsi="Segoe UI" w:cs="Segoe UI"/>
                <w:color w:val="000000"/>
                <w:kern w:val="0"/>
                <w:sz w:val="18"/>
                <w:szCs w:val="18"/>
              </w:rPr>
              <w:object w:dxaOrig="1440" w:dyaOrig="1440">
                <v:shape id="_x0000_i1051" type="#_x0000_t75" style="width:20.25pt;height:15.75pt" o:ole="">
                  <v:imagedata r:id="rId7" o:title=""/>
                </v:shape>
                <w:control r:id="rId15" w:name="DefaultOcxName4" w:shapeid="_x0000_i105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5744D" w:rsidRPr="00B5744D" w:rsidRDefault="00B5744D" w:rsidP="00B5744D">
            <w:pPr>
              <w:widowControl/>
              <w:jc w:val="left"/>
              <w:rPr>
                <w:rFonts w:ascii="Segoe UI" w:eastAsia="宋体" w:hAnsi="Segoe UI" w:cs="Segoe UI"/>
                <w:color w:val="000000"/>
                <w:kern w:val="0"/>
                <w:sz w:val="18"/>
                <w:szCs w:val="18"/>
              </w:rPr>
            </w:pPr>
            <w:r w:rsidRPr="00B5744D">
              <w:rPr>
                <w:rFonts w:ascii="Segoe UI" w:eastAsia="宋体" w:hAnsi="Segoe UI" w:cs="Segoe UI"/>
                <w:b/>
                <w:bCs/>
                <w:color w:val="000000"/>
                <w:kern w:val="0"/>
                <w:sz w:val="18"/>
                <w:szCs w:val="18"/>
              </w:rPr>
              <w:t>A.</w:t>
            </w:r>
            <w:r w:rsidRPr="00B5744D">
              <w:rPr>
                <w:rFonts w:ascii="Segoe UI" w:eastAsia="宋体" w:hAnsi="Segoe UI" w:cs="Segoe UI"/>
                <w:color w:val="000000"/>
                <w:kern w:val="0"/>
                <w:sz w:val="18"/>
                <w:szCs w:val="18"/>
              </w:rPr>
              <w:t xml:space="preserve"> If he makes full disclosure to both companies.</w:t>
            </w: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r>
      <w:tr w:rsidR="00B5744D" w:rsidRPr="00B5744D" w:rsidTr="00B5744D">
        <w:trPr>
          <w:trHeight w:val="525"/>
          <w:tblCellSpacing w:w="15" w:type="dxa"/>
        </w:trPr>
        <w:tc>
          <w:tcPr>
            <w:tcW w:w="375" w:type="dxa"/>
            <w:vAlign w:val="center"/>
            <w:hideMark/>
          </w:tcPr>
          <w:p w:rsidR="00B5744D" w:rsidRPr="00B5744D" w:rsidRDefault="00B5744D" w:rsidP="00B5744D">
            <w:pPr>
              <w:widowControl/>
              <w:jc w:val="left"/>
              <w:rPr>
                <w:rFonts w:ascii="Segoe UI" w:eastAsia="宋体" w:hAnsi="Segoe UI" w:cs="Segoe UI"/>
                <w:color w:val="333333"/>
                <w:kern w:val="0"/>
                <w:sz w:val="18"/>
                <w:szCs w:val="18"/>
              </w:rPr>
            </w:pPr>
            <w:r w:rsidRPr="00B5744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5744D" w:rsidRPr="00B5744D" w:rsidRDefault="00B5744D" w:rsidP="00B5744D">
            <w:pPr>
              <w:widowControl/>
              <w:jc w:val="center"/>
              <w:rPr>
                <w:rFonts w:ascii="Segoe UI" w:eastAsia="宋体" w:hAnsi="Segoe UI" w:cs="Segoe UI"/>
                <w:color w:val="000000"/>
                <w:kern w:val="0"/>
                <w:sz w:val="18"/>
                <w:szCs w:val="18"/>
              </w:rPr>
            </w:pPr>
            <w:r w:rsidRPr="00B5744D">
              <w:rPr>
                <w:rFonts w:ascii="Segoe UI" w:eastAsia="宋体" w:hAnsi="Segoe UI" w:cs="Segoe UI"/>
                <w:color w:val="000000"/>
                <w:kern w:val="0"/>
                <w:sz w:val="18"/>
                <w:szCs w:val="18"/>
              </w:rPr>
              <w:object w:dxaOrig="1440" w:dyaOrig="1440">
                <v:shape id="_x0000_i1050" type="#_x0000_t75" style="width:20.25pt;height:15.75pt" o:ole="">
                  <v:imagedata r:id="rId9" o:title=""/>
                </v:shape>
                <w:control r:id="rId16" w:name="DefaultOcxName12" w:shapeid="_x0000_i105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5744D" w:rsidRPr="00B5744D" w:rsidRDefault="00B5744D" w:rsidP="00B5744D">
            <w:pPr>
              <w:widowControl/>
              <w:jc w:val="left"/>
              <w:rPr>
                <w:rFonts w:ascii="Segoe UI" w:eastAsia="宋体" w:hAnsi="Segoe UI" w:cs="Segoe UI"/>
                <w:color w:val="000000"/>
                <w:kern w:val="0"/>
                <w:sz w:val="18"/>
                <w:szCs w:val="18"/>
              </w:rPr>
            </w:pPr>
            <w:r w:rsidRPr="00B5744D">
              <w:rPr>
                <w:rFonts w:ascii="Segoe UI" w:eastAsia="宋体" w:hAnsi="Segoe UI" w:cs="Segoe UI"/>
                <w:b/>
                <w:bCs/>
                <w:color w:val="000000"/>
                <w:kern w:val="0"/>
                <w:sz w:val="18"/>
                <w:szCs w:val="18"/>
              </w:rPr>
              <w:t>B.</w:t>
            </w:r>
            <w:r w:rsidRPr="00B5744D">
              <w:rPr>
                <w:rFonts w:ascii="Segoe UI" w:eastAsia="宋体" w:hAnsi="Segoe UI" w:cs="Segoe UI"/>
                <w:color w:val="000000"/>
                <w:kern w:val="0"/>
                <w:sz w:val="18"/>
                <w:szCs w:val="18"/>
              </w:rPr>
              <w:t xml:space="preserve"> If he receives written permission from the local company.</w:t>
            </w: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r>
      <w:tr w:rsidR="00B5744D" w:rsidRPr="00B5744D" w:rsidTr="00B5744D">
        <w:trPr>
          <w:trHeight w:val="525"/>
          <w:tblCellSpacing w:w="15" w:type="dxa"/>
        </w:trPr>
        <w:tc>
          <w:tcPr>
            <w:tcW w:w="375" w:type="dxa"/>
            <w:vAlign w:val="center"/>
            <w:hideMark/>
          </w:tcPr>
          <w:p w:rsidR="00B5744D" w:rsidRPr="00B5744D" w:rsidRDefault="00B5744D" w:rsidP="00B5744D">
            <w:pPr>
              <w:widowControl/>
              <w:jc w:val="left"/>
              <w:rPr>
                <w:rFonts w:ascii="Segoe UI" w:eastAsia="宋体" w:hAnsi="Segoe UI" w:cs="Segoe UI"/>
                <w:color w:val="333333"/>
                <w:kern w:val="0"/>
                <w:sz w:val="18"/>
                <w:szCs w:val="18"/>
              </w:rPr>
            </w:pPr>
            <w:r w:rsidRPr="00B5744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5744D" w:rsidRPr="00B5744D" w:rsidRDefault="00B5744D" w:rsidP="00B5744D">
            <w:pPr>
              <w:widowControl/>
              <w:jc w:val="center"/>
              <w:rPr>
                <w:rFonts w:ascii="Segoe UI" w:eastAsia="宋体" w:hAnsi="Segoe UI" w:cs="Segoe UI"/>
                <w:color w:val="000000"/>
                <w:kern w:val="0"/>
                <w:sz w:val="18"/>
                <w:szCs w:val="18"/>
              </w:rPr>
            </w:pPr>
            <w:r w:rsidRPr="00B5744D">
              <w:rPr>
                <w:rFonts w:ascii="Segoe UI" w:eastAsia="宋体" w:hAnsi="Segoe UI" w:cs="Segoe UI"/>
                <w:color w:val="000000"/>
                <w:kern w:val="0"/>
                <w:sz w:val="18"/>
                <w:szCs w:val="18"/>
              </w:rPr>
              <w:object w:dxaOrig="1440" w:dyaOrig="1440">
                <v:shape id="_x0000_i1049" type="#_x0000_t75" style="width:20.25pt;height:15.75pt" o:ole="">
                  <v:imagedata r:id="rId9" o:title=""/>
                </v:shape>
                <w:control r:id="rId17" w:name="DefaultOcxName22" w:shapeid="_x0000_i104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5744D" w:rsidRPr="00B5744D" w:rsidRDefault="00B5744D" w:rsidP="00B5744D">
            <w:pPr>
              <w:widowControl/>
              <w:jc w:val="left"/>
              <w:rPr>
                <w:rFonts w:ascii="Segoe UI" w:eastAsia="宋体" w:hAnsi="Segoe UI" w:cs="Segoe UI"/>
                <w:color w:val="000000"/>
                <w:kern w:val="0"/>
                <w:sz w:val="18"/>
                <w:szCs w:val="18"/>
              </w:rPr>
            </w:pPr>
            <w:r w:rsidRPr="00B5744D">
              <w:rPr>
                <w:rFonts w:ascii="Segoe UI" w:eastAsia="宋体" w:hAnsi="Segoe UI" w:cs="Segoe UI"/>
                <w:b/>
                <w:bCs/>
                <w:color w:val="000000"/>
                <w:kern w:val="0"/>
                <w:sz w:val="18"/>
                <w:szCs w:val="18"/>
              </w:rPr>
              <w:t>C.</w:t>
            </w:r>
            <w:r w:rsidRPr="00B5744D">
              <w:rPr>
                <w:rFonts w:ascii="Segoe UI" w:eastAsia="宋体" w:hAnsi="Segoe UI" w:cs="Segoe UI"/>
                <w:color w:val="000000"/>
                <w:kern w:val="0"/>
                <w:sz w:val="18"/>
                <w:szCs w:val="18"/>
              </w:rPr>
              <w:t xml:space="preserve"> If he signs confidentiality agreements with both companies.</w:t>
            </w: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r>
      <w:tr w:rsidR="00B5744D" w:rsidRPr="00B5744D" w:rsidTr="00B5744D">
        <w:trPr>
          <w:trHeight w:val="525"/>
          <w:tblCellSpacing w:w="15" w:type="dxa"/>
        </w:trPr>
        <w:tc>
          <w:tcPr>
            <w:tcW w:w="375" w:type="dxa"/>
            <w:noWrap/>
            <w:vAlign w:val="center"/>
            <w:hideMark/>
          </w:tcPr>
          <w:p w:rsidR="00B5744D" w:rsidRPr="00B5744D" w:rsidRDefault="00B5744D" w:rsidP="00B5744D">
            <w:pPr>
              <w:widowControl/>
              <w:jc w:val="center"/>
              <w:rPr>
                <w:rFonts w:ascii="Segoe UI" w:eastAsia="宋体" w:hAnsi="Segoe UI" w:cs="Segoe UI"/>
                <w:color w:val="333333"/>
                <w:kern w:val="0"/>
                <w:sz w:val="18"/>
                <w:szCs w:val="18"/>
              </w:rPr>
            </w:pPr>
            <w:r w:rsidRPr="00B5744D">
              <w:rPr>
                <w:rFonts w:ascii="Segoe UI" w:eastAsia="宋体" w:hAnsi="Segoe UI" w:cs="Segoe UI"/>
                <w:color w:val="333333"/>
                <w:kern w:val="0"/>
                <w:sz w:val="18"/>
                <w:szCs w:val="18"/>
              </w:rPr>
              <w:t> </w:t>
            </w:r>
          </w:p>
        </w:tc>
        <w:tc>
          <w:tcPr>
            <w:tcW w:w="0" w:type="auto"/>
            <w:gridSpan w:val="5"/>
            <w:shd w:val="clear" w:color="auto" w:fill="9ACD32"/>
            <w:vAlign w:val="center"/>
            <w:hideMark/>
          </w:tcPr>
          <w:p w:rsidR="00B5744D" w:rsidRPr="00B5744D" w:rsidRDefault="00B5744D" w:rsidP="00B5744D">
            <w:pPr>
              <w:widowControl/>
              <w:jc w:val="left"/>
              <w:rPr>
                <w:rFonts w:ascii="Segoe UI" w:eastAsia="宋体" w:hAnsi="Segoe UI" w:cs="Segoe UI"/>
                <w:color w:val="333333"/>
                <w:kern w:val="0"/>
                <w:sz w:val="18"/>
                <w:szCs w:val="18"/>
              </w:rPr>
            </w:pPr>
            <w:r w:rsidRPr="00B5744D">
              <w:rPr>
                <w:rFonts w:ascii="Segoe UI" w:eastAsia="宋体" w:hAnsi="Segoe UI" w:cs="Segoe UI"/>
                <w:b/>
                <w:bCs/>
                <w:color w:val="000080"/>
                <w:kern w:val="0"/>
                <w:sz w:val="16"/>
                <w:szCs w:val="16"/>
              </w:rPr>
              <w:t>Feedback:</w:t>
            </w:r>
            <w:r w:rsidRPr="00B5744D">
              <w:rPr>
                <w:rFonts w:ascii="Segoe UI" w:eastAsia="宋体" w:hAnsi="Segoe UI" w:cs="Segoe UI"/>
                <w:color w:val="333333"/>
                <w:kern w:val="0"/>
                <w:sz w:val="18"/>
                <w:szCs w:val="18"/>
              </w:rPr>
              <w:t xml:space="preserve"> You have answered correctly.</w:t>
            </w:r>
            <w:r w:rsidRPr="00B5744D">
              <w:rPr>
                <w:rFonts w:ascii="Segoe UI" w:eastAsia="宋体" w:hAnsi="Segoe UI" w:cs="Segoe UI"/>
                <w:color w:val="333333"/>
                <w:kern w:val="0"/>
                <w:sz w:val="18"/>
                <w:szCs w:val="18"/>
              </w:rPr>
              <w:br/>
            </w:r>
            <w:r w:rsidRPr="00B5744D">
              <w:rPr>
                <w:rFonts w:ascii="Segoe UI" w:eastAsia="宋体" w:hAnsi="Segoe UI" w:cs="Segoe UI"/>
                <w:color w:val="333333"/>
                <w:kern w:val="0"/>
                <w:sz w:val="18"/>
                <w:szCs w:val="18"/>
              </w:rPr>
              <w:br/>
              <w:t>Correct answer</w:t>
            </w:r>
            <w:proofErr w:type="gramStart"/>
            <w:r w:rsidRPr="00B5744D">
              <w:rPr>
                <w:rFonts w:ascii="Segoe UI" w:eastAsia="宋体" w:hAnsi="Segoe UI" w:cs="Segoe UI"/>
                <w:color w:val="333333"/>
                <w:kern w:val="0"/>
                <w:sz w:val="18"/>
                <w:szCs w:val="18"/>
              </w:rPr>
              <w:t xml:space="preserve">: </w:t>
            </w:r>
            <w:r w:rsidRPr="00B5744D">
              <w:rPr>
                <w:rFonts w:ascii="Segoe UI" w:eastAsia="宋体" w:hAnsi="Segoe UI" w:cs="Segoe UI"/>
                <w:b/>
                <w:bCs/>
                <w:color w:val="333333"/>
                <w:kern w:val="0"/>
                <w:sz w:val="18"/>
                <w:szCs w:val="18"/>
              </w:rPr>
              <w:t>A</w:t>
            </w:r>
            <w:r w:rsidRPr="00B5744D">
              <w:rPr>
                <w:rFonts w:ascii="Segoe UI" w:eastAsia="宋体" w:hAnsi="Segoe UI" w:cs="Segoe UI"/>
                <w:color w:val="333333"/>
                <w:kern w:val="0"/>
                <w:sz w:val="18"/>
                <w:szCs w:val="18"/>
              </w:rPr>
              <w:br/>
            </w:r>
            <w:r w:rsidRPr="00B5744D">
              <w:rPr>
                <w:rFonts w:ascii="Segoe UI" w:eastAsia="宋体" w:hAnsi="Segoe UI" w:cs="Segoe UI"/>
                <w:color w:val="333333"/>
                <w:kern w:val="0"/>
                <w:sz w:val="18"/>
                <w:szCs w:val="18"/>
              </w:rPr>
              <w:br/>
              <w:t>"</w:t>
            </w:r>
            <w:proofErr w:type="gramEnd"/>
            <w:r w:rsidRPr="00B5744D">
              <w:rPr>
                <w:rFonts w:ascii="Segoe UI" w:eastAsia="宋体" w:hAnsi="Segoe UI" w:cs="Segoe UI"/>
                <w:color w:val="333333"/>
                <w:kern w:val="0"/>
                <w:sz w:val="18"/>
                <w:szCs w:val="18"/>
              </w:rPr>
              <w:t>Guidance for Standards I–VII," CFA Institute</w:t>
            </w:r>
            <w:r w:rsidRPr="00B5744D">
              <w:rPr>
                <w:rFonts w:ascii="Segoe UI" w:eastAsia="宋体" w:hAnsi="Segoe UI" w:cs="Segoe UI"/>
                <w:color w:val="333333"/>
                <w:kern w:val="0"/>
                <w:sz w:val="18"/>
                <w:szCs w:val="18"/>
              </w:rPr>
              <w:br/>
              <w:t>2011 Modular Level I, Vol. 1, pp. 123–125</w:t>
            </w:r>
            <w:r w:rsidRPr="00B5744D">
              <w:rPr>
                <w:rFonts w:ascii="Segoe UI" w:eastAsia="宋体" w:hAnsi="Segoe UI" w:cs="Segoe UI"/>
                <w:color w:val="333333"/>
                <w:kern w:val="0"/>
                <w:sz w:val="18"/>
                <w:szCs w:val="18"/>
              </w:rPr>
              <w:br/>
              <w:t>Study Session 1–2–c</w:t>
            </w:r>
            <w:r w:rsidRPr="00B5744D">
              <w:rPr>
                <w:rFonts w:ascii="Segoe UI" w:eastAsia="宋体" w:hAnsi="Segoe UI" w:cs="Segoe UI"/>
                <w:color w:val="333333"/>
                <w:kern w:val="0"/>
                <w:sz w:val="18"/>
                <w:szCs w:val="18"/>
              </w:rPr>
              <w:br/>
              <w:t>Recommend practices and procedures designed to prevent violations of the Code of Ethics and Standards of Professional Conduct.</w:t>
            </w:r>
            <w:r w:rsidRPr="00B5744D">
              <w:rPr>
                <w:rFonts w:ascii="Segoe UI" w:eastAsia="宋体" w:hAnsi="Segoe UI" w:cs="Segoe UI"/>
                <w:color w:val="333333"/>
                <w:kern w:val="0"/>
                <w:sz w:val="18"/>
                <w:szCs w:val="18"/>
              </w:rPr>
              <w:br/>
            </w:r>
            <w:r w:rsidRPr="00B5744D">
              <w:rPr>
                <w:rFonts w:ascii="Segoe UI" w:eastAsia="宋体" w:hAnsi="Segoe UI" w:cs="Segoe UI"/>
                <w:color w:val="333333"/>
                <w:kern w:val="0"/>
                <w:sz w:val="18"/>
                <w:szCs w:val="18"/>
              </w:rPr>
              <w:br/>
              <w:t>Making full and fair disclosure of all matters that could reasonably be expected to impair their independence and objectivity or interfere with respective duties to their clients is required by Standard VI, Conflicts of Interest, of the CFA Code of Ethics and Standards of Professional Conduct. </w:t>
            </w:r>
          </w:p>
        </w:tc>
      </w:tr>
    </w:tbl>
    <w:p w:rsidR="00B21C6C" w:rsidRDefault="00B21C6C">
      <w:pPr>
        <w:rPr>
          <w:rFonts w:hint="eastAsia"/>
        </w:rPr>
      </w:pPr>
    </w:p>
    <w:tbl>
      <w:tblPr>
        <w:tblW w:w="5000" w:type="pct"/>
        <w:tblCellSpacing w:w="15" w:type="dxa"/>
        <w:tblCellMar>
          <w:top w:w="30" w:type="dxa"/>
          <w:left w:w="30" w:type="dxa"/>
          <w:bottom w:w="30" w:type="dxa"/>
          <w:right w:w="30" w:type="dxa"/>
        </w:tblCellMar>
        <w:tblLook w:val="04A0"/>
      </w:tblPr>
      <w:tblGrid>
        <w:gridCol w:w="420"/>
        <w:gridCol w:w="786"/>
        <w:gridCol w:w="6947"/>
        <w:gridCol w:w="96"/>
        <w:gridCol w:w="96"/>
        <w:gridCol w:w="111"/>
      </w:tblGrid>
      <w:tr w:rsidR="00B5744D" w:rsidRPr="00B5744D" w:rsidTr="00B5744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5744D" w:rsidRPr="00B5744D" w:rsidRDefault="00B5744D" w:rsidP="00B5744D">
            <w:pPr>
              <w:widowControl/>
              <w:jc w:val="left"/>
              <w:rPr>
                <w:rFonts w:ascii="Segoe UI" w:eastAsia="宋体" w:hAnsi="Segoe UI" w:cs="Segoe UI"/>
                <w:b/>
                <w:bCs/>
                <w:color w:val="000000"/>
                <w:kern w:val="0"/>
                <w:sz w:val="18"/>
                <w:szCs w:val="18"/>
              </w:rPr>
            </w:pPr>
            <w:r w:rsidRPr="00B5744D">
              <w:rPr>
                <w:rFonts w:ascii="Segoe UI" w:eastAsia="宋体" w:hAnsi="Segoe UI" w:cs="Segoe UI"/>
                <w:b/>
                <w:bCs/>
                <w:color w:val="000000"/>
                <w:kern w:val="0"/>
                <w:sz w:val="18"/>
                <w:szCs w:val="18"/>
              </w:rPr>
              <w:t>4</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5744D" w:rsidRPr="00B5744D" w:rsidRDefault="00B5744D" w:rsidP="00B5744D">
            <w:pPr>
              <w:widowControl/>
              <w:jc w:val="left"/>
              <w:rPr>
                <w:rFonts w:ascii="Segoe UI" w:eastAsia="宋体" w:hAnsi="Segoe UI" w:cs="Segoe UI"/>
                <w:color w:val="333333"/>
                <w:kern w:val="0"/>
                <w:sz w:val="18"/>
                <w:szCs w:val="18"/>
              </w:rPr>
            </w:pPr>
            <w:proofErr w:type="spellStart"/>
            <w:r w:rsidRPr="00B5744D">
              <w:rPr>
                <w:rFonts w:ascii="Segoe UI" w:eastAsia="宋体" w:hAnsi="Segoe UI" w:cs="Segoe UI"/>
                <w:color w:val="333333"/>
                <w:kern w:val="0"/>
                <w:sz w:val="18"/>
                <w:szCs w:val="18"/>
              </w:rPr>
              <w:t>Noor</w:t>
            </w:r>
            <w:proofErr w:type="spellEnd"/>
            <w:r w:rsidRPr="00B5744D">
              <w:rPr>
                <w:rFonts w:ascii="Segoe UI" w:eastAsia="宋体" w:hAnsi="Segoe UI" w:cs="Segoe UI"/>
                <w:color w:val="333333"/>
                <w:kern w:val="0"/>
                <w:sz w:val="18"/>
                <w:szCs w:val="18"/>
              </w:rPr>
              <w:t xml:space="preserve"> </w:t>
            </w:r>
            <w:proofErr w:type="spellStart"/>
            <w:r w:rsidRPr="00B5744D">
              <w:rPr>
                <w:rFonts w:ascii="Segoe UI" w:eastAsia="宋体" w:hAnsi="Segoe UI" w:cs="Segoe UI"/>
                <w:color w:val="333333"/>
                <w:kern w:val="0"/>
                <w:sz w:val="18"/>
                <w:szCs w:val="18"/>
              </w:rPr>
              <w:t>Mawar</w:t>
            </w:r>
            <w:proofErr w:type="spellEnd"/>
            <w:r w:rsidRPr="00B5744D">
              <w:rPr>
                <w:rFonts w:ascii="Segoe UI" w:eastAsia="宋体" w:hAnsi="Segoe UI" w:cs="Segoe UI"/>
                <w:color w:val="333333"/>
                <w:kern w:val="0"/>
                <w:sz w:val="18"/>
                <w:szCs w:val="18"/>
              </w:rPr>
              <w:t xml:space="preserve">, CFA, manages a trust fund for an orphaned 18-year-old student. The trust assets are expected to provide the beneficiary with a stable, low-risk source of income until she reaches 30. The student asks </w:t>
            </w:r>
            <w:proofErr w:type="spellStart"/>
            <w:r w:rsidRPr="00B5744D">
              <w:rPr>
                <w:rFonts w:ascii="Segoe UI" w:eastAsia="宋体" w:hAnsi="Segoe UI" w:cs="Segoe UI"/>
                <w:color w:val="333333"/>
                <w:kern w:val="0"/>
                <w:sz w:val="18"/>
                <w:szCs w:val="18"/>
              </w:rPr>
              <w:t>Mawar</w:t>
            </w:r>
            <w:proofErr w:type="spellEnd"/>
            <w:r w:rsidRPr="00B5744D">
              <w:rPr>
                <w:rFonts w:ascii="Segoe UI" w:eastAsia="宋体" w:hAnsi="Segoe UI" w:cs="Segoe UI"/>
                <w:color w:val="333333"/>
                <w:kern w:val="0"/>
                <w:sz w:val="18"/>
                <w:szCs w:val="18"/>
              </w:rPr>
              <w:t xml:space="preserve"> to invest in a new business venture expected to provide a handsome income return over the next 10 to 25 years as was discussed on an Internet blog. </w:t>
            </w:r>
            <w:proofErr w:type="spellStart"/>
            <w:r w:rsidRPr="00B5744D">
              <w:rPr>
                <w:rFonts w:ascii="Segoe UI" w:eastAsia="宋体" w:hAnsi="Segoe UI" w:cs="Segoe UI"/>
                <w:color w:val="333333"/>
                <w:kern w:val="0"/>
                <w:sz w:val="18"/>
                <w:szCs w:val="18"/>
              </w:rPr>
              <w:t>Mawar</w:t>
            </w:r>
            <w:proofErr w:type="spellEnd"/>
            <w:r w:rsidRPr="00B5744D">
              <w:rPr>
                <w:rFonts w:ascii="Segoe UI" w:eastAsia="宋体" w:hAnsi="Segoe UI" w:cs="Segoe UI"/>
                <w:color w:val="333333"/>
                <w:kern w:val="0"/>
                <w:sz w:val="18"/>
                <w:szCs w:val="18"/>
              </w:rPr>
              <w:t xml:space="preserve"> ignores the request, instead securing conservative investments to provide sufficient income. Did </w:t>
            </w:r>
            <w:proofErr w:type="spellStart"/>
            <w:r w:rsidRPr="00B5744D">
              <w:rPr>
                <w:rFonts w:ascii="Segoe UI" w:eastAsia="宋体" w:hAnsi="Segoe UI" w:cs="Segoe UI"/>
                <w:color w:val="333333"/>
                <w:kern w:val="0"/>
                <w:sz w:val="18"/>
                <w:szCs w:val="18"/>
              </w:rPr>
              <w:t>Mawar</w:t>
            </w:r>
            <w:proofErr w:type="spellEnd"/>
            <w:r w:rsidRPr="00B5744D">
              <w:rPr>
                <w:rFonts w:ascii="Segoe UI" w:eastAsia="宋体" w:hAnsi="Segoe UI" w:cs="Segoe UI"/>
                <w:color w:val="333333"/>
                <w:kern w:val="0"/>
                <w:sz w:val="18"/>
                <w:szCs w:val="18"/>
              </w:rPr>
              <w:t xml:space="preserve"> </w:t>
            </w:r>
            <w:r w:rsidRPr="00B5744D">
              <w:rPr>
                <w:rFonts w:ascii="Segoe UI" w:eastAsia="宋体" w:hAnsi="Segoe UI" w:cs="Segoe UI"/>
                <w:i/>
                <w:iCs/>
                <w:color w:val="333333"/>
                <w:kern w:val="0"/>
                <w:sz w:val="18"/>
                <w:szCs w:val="18"/>
              </w:rPr>
              <w:t>most likely</w:t>
            </w:r>
            <w:r w:rsidRPr="00B5744D">
              <w:rPr>
                <w:rFonts w:ascii="Segoe UI" w:eastAsia="宋体" w:hAnsi="Segoe UI" w:cs="Segoe UI"/>
                <w:color w:val="333333"/>
                <w:kern w:val="0"/>
                <w:sz w:val="18"/>
                <w:szCs w:val="18"/>
              </w:rPr>
              <w:t xml:space="preserve"> violate the CFA Code of Ethics and Standards of Professional Conduct?</w:t>
            </w:r>
          </w:p>
        </w:tc>
      </w:tr>
      <w:tr w:rsidR="00B5744D" w:rsidRPr="00B5744D" w:rsidTr="00B5744D">
        <w:trPr>
          <w:trHeight w:val="525"/>
          <w:tblCellSpacing w:w="15" w:type="dxa"/>
        </w:trPr>
        <w:tc>
          <w:tcPr>
            <w:tcW w:w="375" w:type="dxa"/>
            <w:vAlign w:val="center"/>
            <w:hideMark/>
          </w:tcPr>
          <w:p w:rsidR="00B5744D" w:rsidRPr="00B5744D" w:rsidRDefault="00B5744D" w:rsidP="00B5744D">
            <w:pPr>
              <w:widowControl/>
              <w:jc w:val="left"/>
              <w:rPr>
                <w:rFonts w:ascii="Segoe UI" w:eastAsia="宋体" w:hAnsi="Segoe UI" w:cs="Segoe UI"/>
                <w:color w:val="333333"/>
                <w:kern w:val="0"/>
                <w:sz w:val="18"/>
                <w:szCs w:val="18"/>
              </w:rPr>
            </w:pPr>
            <w:r w:rsidRPr="00B5744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5744D" w:rsidRPr="00B5744D" w:rsidRDefault="00B5744D" w:rsidP="00B5744D">
            <w:pPr>
              <w:widowControl/>
              <w:jc w:val="center"/>
              <w:rPr>
                <w:rFonts w:ascii="Segoe UI" w:eastAsia="宋体" w:hAnsi="Segoe UI" w:cs="Segoe UI"/>
                <w:color w:val="000000"/>
                <w:kern w:val="0"/>
                <w:sz w:val="18"/>
                <w:szCs w:val="18"/>
              </w:rPr>
            </w:pPr>
            <w:r w:rsidRPr="00B5744D">
              <w:rPr>
                <w:rFonts w:ascii="Segoe UI" w:eastAsia="宋体" w:hAnsi="Segoe UI" w:cs="Segoe UI"/>
                <w:color w:val="000000"/>
                <w:kern w:val="0"/>
                <w:sz w:val="18"/>
                <w:szCs w:val="18"/>
              </w:rPr>
              <w:object w:dxaOrig="1440" w:dyaOrig="1440">
                <v:shape id="_x0000_i1081" type="#_x0000_t75" style="width:20.25pt;height:15.75pt" o:ole="">
                  <v:imagedata r:id="rId7" o:title=""/>
                </v:shape>
                <w:control r:id="rId18" w:name="DefaultOcxName5" w:shapeid="_x0000_i108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5744D" w:rsidRPr="00B5744D" w:rsidRDefault="00B5744D" w:rsidP="00B5744D">
            <w:pPr>
              <w:widowControl/>
              <w:jc w:val="left"/>
              <w:rPr>
                <w:rFonts w:ascii="Segoe UI" w:eastAsia="宋体" w:hAnsi="Segoe UI" w:cs="Segoe UI"/>
                <w:color w:val="000000"/>
                <w:kern w:val="0"/>
                <w:sz w:val="18"/>
                <w:szCs w:val="18"/>
              </w:rPr>
            </w:pPr>
            <w:r w:rsidRPr="00B5744D">
              <w:rPr>
                <w:rFonts w:ascii="Segoe UI" w:eastAsia="宋体" w:hAnsi="Segoe UI" w:cs="Segoe UI"/>
                <w:b/>
                <w:bCs/>
                <w:color w:val="000000"/>
                <w:kern w:val="0"/>
                <w:sz w:val="18"/>
                <w:szCs w:val="18"/>
              </w:rPr>
              <w:t>A.</w:t>
            </w:r>
            <w:r w:rsidRPr="00B5744D">
              <w:rPr>
                <w:rFonts w:ascii="Segoe UI" w:eastAsia="宋体" w:hAnsi="Segoe UI" w:cs="Segoe UI"/>
                <w:color w:val="000000"/>
                <w:kern w:val="0"/>
                <w:sz w:val="18"/>
                <w:szCs w:val="18"/>
              </w:rPr>
              <w:t xml:space="preserve"> Yes.</w:t>
            </w: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r>
      <w:tr w:rsidR="00B5744D" w:rsidRPr="00B5744D" w:rsidTr="00B5744D">
        <w:trPr>
          <w:trHeight w:val="525"/>
          <w:tblCellSpacing w:w="15" w:type="dxa"/>
        </w:trPr>
        <w:tc>
          <w:tcPr>
            <w:tcW w:w="375" w:type="dxa"/>
            <w:vAlign w:val="center"/>
            <w:hideMark/>
          </w:tcPr>
          <w:p w:rsidR="00B5744D" w:rsidRPr="00B5744D" w:rsidRDefault="00B5744D" w:rsidP="00B5744D">
            <w:pPr>
              <w:widowControl/>
              <w:jc w:val="left"/>
              <w:rPr>
                <w:rFonts w:ascii="Segoe UI" w:eastAsia="宋体" w:hAnsi="Segoe UI" w:cs="Segoe UI"/>
                <w:color w:val="333333"/>
                <w:kern w:val="0"/>
                <w:sz w:val="18"/>
                <w:szCs w:val="18"/>
              </w:rPr>
            </w:pPr>
            <w:r w:rsidRPr="00B5744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5744D" w:rsidRPr="00B5744D" w:rsidRDefault="00B5744D" w:rsidP="00B5744D">
            <w:pPr>
              <w:widowControl/>
              <w:jc w:val="center"/>
              <w:rPr>
                <w:rFonts w:ascii="Segoe UI" w:eastAsia="宋体" w:hAnsi="Segoe UI" w:cs="Segoe UI"/>
                <w:color w:val="000000"/>
                <w:kern w:val="0"/>
                <w:sz w:val="18"/>
                <w:szCs w:val="18"/>
              </w:rPr>
            </w:pPr>
            <w:r w:rsidRPr="00B5744D">
              <w:rPr>
                <w:rFonts w:ascii="Segoe UI" w:eastAsia="宋体" w:hAnsi="Segoe UI" w:cs="Segoe UI"/>
                <w:color w:val="000000"/>
                <w:kern w:val="0"/>
                <w:sz w:val="18"/>
                <w:szCs w:val="18"/>
              </w:rPr>
              <w:object w:dxaOrig="1440" w:dyaOrig="1440">
                <v:shape id="_x0000_i1080" type="#_x0000_t75" style="width:20.25pt;height:15.75pt" o:ole="">
                  <v:imagedata r:id="rId9" o:title=""/>
                </v:shape>
                <w:control r:id="rId19" w:name="DefaultOcxName13" w:shapeid="_x0000_i108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5744D" w:rsidRPr="00B5744D" w:rsidRDefault="00B5744D" w:rsidP="00B5744D">
            <w:pPr>
              <w:widowControl/>
              <w:jc w:val="left"/>
              <w:rPr>
                <w:rFonts w:ascii="Segoe UI" w:eastAsia="宋体" w:hAnsi="Segoe UI" w:cs="Segoe UI"/>
                <w:color w:val="000000"/>
                <w:kern w:val="0"/>
                <w:sz w:val="18"/>
                <w:szCs w:val="18"/>
              </w:rPr>
            </w:pPr>
            <w:r w:rsidRPr="00B5744D">
              <w:rPr>
                <w:rFonts w:ascii="Segoe UI" w:eastAsia="宋体" w:hAnsi="Segoe UI" w:cs="Segoe UI"/>
                <w:b/>
                <w:bCs/>
                <w:color w:val="000000"/>
                <w:kern w:val="0"/>
                <w:sz w:val="18"/>
                <w:szCs w:val="18"/>
              </w:rPr>
              <w:t>B.</w:t>
            </w:r>
            <w:r w:rsidRPr="00B5744D">
              <w:rPr>
                <w:rFonts w:ascii="Segoe UI" w:eastAsia="宋体" w:hAnsi="Segoe UI" w:cs="Segoe UI"/>
                <w:color w:val="000000"/>
                <w:kern w:val="0"/>
                <w:sz w:val="18"/>
                <w:szCs w:val="18"/>
              </w:rPr>
              <w:t xml:space="preserve"> No, because the client’s objectives were met.</w:t>
            </w: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r>
      <w:tr w:rsidR="00B5744D" w:rsidRPr="00B5744D" w:rsidTr="00B5744D">
        <w:trPr>
          <w:trHeight w:val="525"/>
          <w:tblCellSpacing w:w="15" w:type="dxa"/>
        </w:trPr>
        <w:tc>
          <w:tcPr>
            <w:tcW w:w="375" w:type="dxa"/>
            <w:vAlign w:val="center"/>
            <w:hideMark/>
          </w:tcPr>
          <w:p w:rsidR="00B5744D" w:rsidRPr="00B5744D" w:rsidRDefault="00B5744D" w:rsidP="00B5744D">
            <w:pPr>
              <w:widowControl/>
              <w:jc w:val="left"/>
              <w:rPr>
                <w:rFonts w:ascii="Segoe UI" w:eastAsia="宋体" w:hAnsi="Segoe UI" w:cs="Segoe UI"/>
                <w:color w:val="333333"/>
                <w:kern w:val="0"/>
                <w:sz w:val="18"/>
                <w:szCs w:val="18"/>
              </w:rPr>
            </w:pPr>
            <w:r w:rsidRPr="00B5744D">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5744D" w:rsidRPr="00B5744D" w:rsidRDefault="00B5744D" w:rsidP="00B5744D">
            <w:pPr>
              <w:widowControl/>
              <w:jc w:val="center"/>
              <w:rPr>
                <w:rFonts w:ascii="Segoe UI" w:eastAsia="宋体" w:hAnsi="Segoe UI" w:cs="Segoe UI"/>
                <w:color w:val="000000"/>
                <w:kern w:val="0"/>
                <w:sz w:val="18"/>
                <w:szCs w:val="18"/>
              </w:rPr>
            </w:pPr>
            <w:r w:rsidRPr="00B5744D">
              <w:rPr>
                <w:rFonts w:ascii="Segoe UI" w:eastAsia="宋体" w:hAnsi="Segoe UI" w:cs="Segoe UI"/>
                <w:color w:val="000000"/>
                <w:kern w:val="0"/>
                <w:sz w:val="18"/>
                <w:szCs w:val="18"/>
              </w:rPr>
              <w:object w:dxaOrig="1440" w:dyaOrig="1440">
                <v:shape id="_x0000_i1079" type="#_x0000_t75" style="width:20.25pt;height:15.75pt" o:ole="">
                  <v:imagedata r:id="rId9" o:title=""/>
                </v:shape>
                <w:control r:id="rId20" w:name="DefaultOcxName23" w:shapeid="_x0000_i107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5744D" w:rsidRPr="00B5744D" w:rsidRDefault="00B5744D" w:rsidP="00B5744D">
            <w:pPr>
              <w:widowControl/>
              <w:jc w:val="left"/>
              <w:rPr>
                <w:rFonts w:ascii="Segoe UI" w:eastAsia="宋体" w:hAnsi="Segoe UI" w:cs="Segoe UI"/>
                <w:color w:val="000000"/>
                <w:kern w:val="0"/>
                <w:sz w:val="18"/>
                <w:szCs w:val="18"/>
              </w:rPr>
            </w:pPr>
            <w:r w:rsidRPr="00B5744D">
              <w:rPr>
                <w:rFonts w:ascii="Segoe UI" w:eastAsia="宋体" w:hAnsi="Segoe UI" w:cs="Segoe UI"/>
                <w:b/>
                <w:bCs/>
                <w:color w:val="000000"/>
                <w:kern w:val="0"/>
                <w:sz w:val="18"/>
                <w:szCs w:val="18"/>
              </w:rPr>
              <w:t>C.</w:t>
            </w:r>
            <w:r w:rsidRPr="00B5744D">
              <w:rPr>
                <w:rFonts w:ascii="Segoe UI" w:eastAsia="宋体" w:hAnsi="Segoe UI" w:cs="Segoe UI"/>
                <w:color w:val="000000"/>
                <w:kern w:val="0"/>
                <w:sz w:val="18"/>
                <w:szCs w:val="18"/>
              </w:rPr>
              <w:t xml:space="preserve"> No, because the student’s age allows for a high-risk profile.</w:t>
            </w: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r>
      <w:tr w:rsidR="00B5744D" w:rsidRPr="00B5744D" w:rsidTr="00B5744D">
        <w:trPr>
          <w:trHeight w:val="525"/>
          <w:tblCellSpacing w:w="15" w:type="dxa"/>
        </w:trPr>
        <w:tc>
          <w:tcPr>
            <w:tcW w:w="375" w:type="dxa"/>
            <w:noWrap/>
            <w:vAlign w:val="center"/>
            <w:hideMark/>
          </w:tcPr>
          <w:p w:rsidR="00B5744D" w:rsidRPr="00B5744D" w:rsidRDefault="00B5744D" w:rsidP="00B5744D">
            <w:pPr>
              <w:widowControl/>
              <w:jc w:val="center"/>
              <w:rPr>
                <w:rFonts w:ascii="Segoe UI" w:eastAsia="宋体" w:hAnsi="Segoe UI" w:cs="Segoe UI"/>
                <w:color w:val="333333"/>
                <w:kern w:val="0"/>
                <w:sz w:val="18"/>
                <w:szCs w:val="18"/>
              </w:rPr>
            </w:pPr>
            <w:r w:rsidRPr="00B5744D">
              <w:rPr>
                <w:rFonts w:ascii="Segoe UI" w:eastAsia="宋体" w:hAnsi="Segoe UI" w:cs="Segoe UI"/>
                <w:color w:val="333333"/>
                <w:kern w:val="0"/>
                <w:sz w:val="18"/>
                <w:szCs w:val="18"/>
              </w:rPr>
              <w:t> </w:t>
            </w:r>
          </w:p>
        </w:tc>
        <w:tc>
          <w:tcPr>
            <w:tcW w:w="0" w:type="auto"/>
            <w:gridSpan w:val="5"/>
            <w:shd w:val="clear" w:color="auto" w:fill="FF6347"/>
            <w:vAlign w:val="center"/>
            <w:hideMark/>
          </w:tcPr>
          <w:p w:rsidR="00B5744D" w:rsidRPr="00B5744D" w:rsidRDefault="00B5744D" w:rsidP="00B5744D">
            <w:pPr>
              <w:widowControl/>
              <w:jc w:val="left"/>
              <w:rPr>
                <w:rFonts w:ascii="Segoe UI" w:eastAsia="宋体" w:hAnsi="Segoe UI" w:cs="Segoe UI"/>
                <w:color w:val="333333"/>
                <w:kern w:val="0"/>
                <w:sz w:val="18"/>
                <w:szCs w:val="18"/>
              </w:rPr>
            </w:pPr>
            <w:r w:rsidRPr="00B5744D">
              <w:rPr>
                <w:rFonts w:ascii="Segoe UI" w:eastAsia="宋体" w:hAnsi="Segoe UI" w:cs="Segoe UI"/>
                <w:b/>
                <w:bCs/>
                <w:color w:val="000080"/>
                <w:kern w:val="0"/>
                <w:sz w:val="16"/>
                <w:szCs w:val="16"/>
              </w:rPr>
              <w:t>Feedback:</w:t>
            </w:r>
            <w:r w:rsidRPr="00B5744D">
              <w:rPr>
                <w:rFonts w:ascii="Segoe UI" w:eastAsia="宋体" w:hAnsi="Segoe UI" w:cs="Segoe UI"/>
                <w:color w:val="333333"/>
                <w:kern w:val="0"/>
                <w:sz w:val="18"/>
                <w:szCs w:val="18"/>
              </w:rPr>
              <w:t xml:space="preserve"> You have answered incorrectly.</w:t>
            </w:r>
            <w:r w:rsidRPr="00B5744D">
              <w:rPr>
                <w:rFonts w:ascii="Segoe UI" w:eastAsia="宋体" w:hAnsi="Segoe UI" w:cs="Segoe UI"/>
                <w:color w:val="333333"/>
                <w:kern w:val="0"/>
                <w:sz w:val="18"/>
                <w:szCs w:val="18"/>
              </w:rPr>
              <w:br/>
            </w:r>
            <w:r w:rsidRPr="00B5744D">
              <w:rPr>
                <w:rFonts w:ascii="Segoe UI" w:eastAsia="宋体" w:hAnsi="Segoe UI" w:cs="Segoe UI"/>
                <w:color w:val="333333"/>
                <w:kern w:val="0"/>
                <w:sz w:val="18"/>
                <w:szCs w:val="18"/>
              </w:rPr>
              <w:br/>
              <w:t xml:space="preserve">Correct answer: </w:t>
            </w:r>
            <w:r w:rsidRPr="00B5744D">
              <w:rPr>
                <w:rFonts w:ascii="Segoe UI" w:eastAsia="宋体" w:hAnsi="Segoe UI" w:cs="Segoe UI"/>
                <w:b/>
                <w:bCs/>
                <w:color w:val="333333"/>
                <w:kern w:val="0"/>
                <w:sz w:val="18"/>
                <w:szCs w:val="18"/>
              </w:rPr>
              <w:t>B</w:t>
            </w:r>
            <w:r w:rsidRPr="00B5744D">
              <w:rPr>
                <w:rFonts w:ascii="Segoe UI" w:eastAsia="宋体" w:hAnsi="Segoe UI" w:cs="Segoe UI"/>
                <w:color w:val="333333"/>
                <w:kern w:val="0"/>
                <w:sz w:val="18"/>
                <w:szCs w:val="18"/>
              </w:rPr>
              <w:br/>
            </w:r>
            <w:r w:rsidRPr="00B5744D">
              <w:rPr>
                <w:rFonts w:ascii="Segoe UI" w:eastAsia="宋体" w:hAnsi="Segoe UI" w:cs="Segoe UI"/>
                <w:color w:val="333333"/>
                <w:kern w:val="0"/>
                <w:sz w:val="18"/>
                <w:szCs w:val="18"/>
              </w:rPr>
              <w:br/>
              <w:t>"Guidance for Standards I–VII," CFA Institute</w:t>
            </w:r>
            <w:r w:rsidRPr="00B5744D">
              <w:rPr>
                <w:rFonts w:ascii="Segoe UI" w:eastAsia="宋体" w:hAnsi="Segoe UI" w:cs="Segoe UI"/>
                <w:color w:val="333333"/>
                <w:kern w:val="0"/>
                <w:sz w:val="18"/>
                <w:szCs w:val="18"/>
              </w:rPr>
              <w:br/>
              <w:t>2011 Modular Level I, Vol. 1, pp. 78–80</w:t>
            </w:r>
            <w:r w:rsidRPr="00B5744D">
              <w:rPr>
                <w:rFonts w:ascii="Segoe UI" w:eastAsia="宋体" w:hAnsi="Segoe UI" w:cs="Segoe UI"/>
                <w:color w:val="333333"/>
                <w:kern w:val="0"/>
                <w:sz w:val="18"/>
                <w:szCs w:val="18"/>
              </w:rPr>
              <w:br/>
              <w:t>Study Session 1–2–b</w:t>
            </w:r>
            <w:r w:rsidRPr="00B5744D">
              <w:rPr>
                <w:rFonts w:ascii="Segoe UI" w:eastAsia="宋体" w:hAnsi="Segoe UI" w:cs="Segoe UI"/>
                <w:color w:val="333333"/>
                <w:kern w:val="0"/>
                <w:sz w:val="18"/>
                <w:szCs w:val="18"/>
              </w:rPr>
              <w:br/>
              <w:t>Distinguish between conduct that conforms to the Code and Standards and conduct that violates the Code and Standards.</w:t>
            </w:r>
            <w:r w:rsidRPr="00B5744D">
              <w:rPr>
                <w:rFonts w:ascii="Segoe UI" w:eastAsia="宋体" w:hAnsi="Segoe UI" w:cs="Segoe UI"/>
                <w:color w:val="333333"/>
                <w:kern w:val="0"/>
                <w:sz w:val="18"/>
                <w:szCs w:val="18"/>
              </w:rPr>
              <w:br/>
            </w:r>
            <w:r w:rsidRPr="00B5744D">
              <w:rPr>
                <w:rFonts w:ascii="Segoe UI" w:eastAsia="宋体" w:hAnsi="Segoe UI" w:cs="Segoe UI"/>
                <w:color w:val="333333"/>
                <w:kern w:val="0"/>
                <w:sz w:val="18"/>
                <w:szCs w:val="18"/>
              </w:rPr>
              <w:br/>
              <w:t xml:space="preserve">The client is the trust/trustees, not the beneficiary. </w:t>
            </w:r>
            <w:proofErr w:type="spellStart"/>
            <w:r w:rsidRPr="00B5744D">
              <w:rPr>
                <w:rFonts w:ascii="Segoe UI" w:eastAsia="宋体" w:hAnsi="Segoe UI" w:cs="Segoe UI"/>
                <w:color w:val="333333"/>
                <w:kern w:val="0"/>
                <w:sz w:val="18"/>
                <w:szCs w:val="18"/>
              </w:rPr>
              <w:t>Mawar</w:t>
            </w:r>
            <w:proofErr w:type="spellEnd"/>
            <w:r w:rsidRPr="00B5744D">
              <w:rPr>
                <w:rFonts w:ascii="Segoe UI" w:eastAsia="宋体" w:hAnsi="Segoe UI" w:cs="Segoe UI"/>
                <w:color w:val="333333"/>
                <w:kern w:val="0"/>
                <w:sz w:val="18"/>
                <w:szCs w:val="18"/>
              </w:rPr>
              <w:t xml:space="preserve"> followed Standard III(C), Duties to Clients (Suitability), by managing the assets in a way that would likely result in a stable source of income while keeping the risk profile low. </w:t>
            </w:r>
          </w:p>
        </w:tc>
      </w:tr>
    </w:tbl>
    <w:p w:rsidR="00B5744D" w:rsidRDefault="00B5744D">
      <w:pPr>
        <w:rPr>
          <w:rFonts w:hint="eastAsia"/>
        </w:rPr>
      </w:pPr>
    </w:p>
    <w:tbl>
      <w:tblPr>
        <w:tblW w:w="5000" w:type="pct"/>
        <w:tblCellSpacing w:w="15" w:type="dxa"/>
        <w:tblCellMar>
          <w:top w:w="30" w:type="dxa"/>
          <w:left w:w="30" w:type="dxa"/>
          <w:bottom w:w="30" w:type="dxa"/>
          <w:right w:w="30" w:type="dxa"/>
        </w:tblCellMar>
        <w:tblLook w:val="04A0"/>
      </w:tblPr>
      <w:tblGrid>
        <w:gridCol w:w="420"/>
        <w:gridCol w:w="785"/>
        <w:gridCol w:w="6948"/>
        <w:gridCol w:w="96"/>
        <w:gridCol w:w="96"/>
        <w:gridCol w:w="111"/>
      </w:tblGrid>
      <w:tr w:rsidR="00B5744D" w:rsidRPr="00B5744D" w:rsidTr="00B5744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5744D" w:rsidRPr="00B5744D" w:rsidRDefault="00B5744D" w:rsidP="00B5744D">
            <w:pPr>
              <w:widowControl/>
              <w:jc w:val="left"/>
              <w:rPr>
                <w:rFonts w:ascii="Segoe UI" w:eastAsia="宋体" w:hAnsi="Segoe UI" w:cs="Segoe UI"/>
                <w:b/>
                <w:bCs/>
                <w:color w:val="000000"/>
                <w:kern w:val="0"/>
                <w:sz w:val="18"/>
                <w:szCs w:val="18"/>
              </w:rPr>
            </w:pPr>
            <w:r w:rsidRPr="00B5744D">
              <w:rPr>
                <w:rFonts w:ascii="Segoe UI" w:eastAsia="宋体" w:hAnsi="Segoe UI" w:cs="Segoe UI"/>
                <w:b/>
                <w:bCs/>
                <w:color w:val="000000"/>
                <w:kern w:val="0"/>
                <w:sz w:val="18"/>
                <w:szCs w:val="18"/>
              </w:rPr>
              <w:t>5</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5744D" w:rsidRPr="00B5744D" w:rsidRDefault="00B5744D" w:rsidP="00B5744D">
            <w:pPr>
              <w:widowControl/>
              <w:jc w:val="left"/>
              <w:rPr>
                <w:rFonts w:ascii="Segoe UI" w:eastAsia="宋体" w:hAnsi="Segoe UI" w:cs="Segoe UI"/>
                <w:color w:val="333333"/>
                <w:kern w:val="0"/>
                <w:sz w:val="18"/>
                <w:szCs w:val="18"/>
              </w:rPr>
            </w:pPr>
            <w:proofErr w:type="spellStart"/>
            <w:r w:rsidRPr="00B5744D">
              <w:rPr>
                <w:rFonts w:ascii="Segoe UI" w:eastAsia="宋体" w:hAnsi="Segoe UI" w:cs="Segoe UI"/>
                <w:color w:val="333333"/>
                <w:kern w:val="0"/>
                <w:sz w:val="18"/>
                <w:szCs w:val="18"/>
              </w:rPr>
              <w:t>Vishal</w:t>
            </w:r>
            <w:proofErr w:type="spellEnd"/>
            <w:r w:rsidRPr="00B5744D">
              <w:rPr>
                <w:rFonts w:ascii="Segoe UI" w:eastAsia="宋体" w:hAnsi="Segoe UI" w:cs="Segoe UI"/>
                <w:color w:val="333333"/>
                <w:kern w:val="0"/>
                <w:sz w:val="18"/>
                <w:szCs w:val="18"/>
              </w:rPr>
              <w:t xml:space="preserve"> </w:t>
            </w:r>
            <w:proofErr w:type="spellStart"/>
            <w:r w:rsidRPr="00B5744D">
              <w:rPr>
                <w:rFonts w:ascii="Segoe UI" w:eastAsia="宋体" w:hAnsi="Segoe UI" w:cs="Segoe UI"/>
                <w:color w:val="333333"/>
                <w:kern w:val="0"/>
                <w:sz w:val="18"/>
                <w:szCs w:val="18"/>
              </w:rPr>
              <w:t>Chandarana</w:t>
            </w:r>
            <w:proofErr w:type="spellEnd"/>
            <w:r w:rsidRPr="00B5744D">
              <w:rPr>
                <w:rFonts w:ascii="Segoe UI" w:eastAsia="宋体" w:hAnsi="Segoe UI" w:cs="Segoe UI"/>
                <w:color w:val="333333"/>
                <w:kern w:val="0"/>
                <w:sz w:val="18"/>
                <w:szCs w:val="18"/>
              </w:rPr>
              <w:t xml:space="preserve">, an unemployed research analyst, recently registered for the CFA Level I exam. After two months of intense interviewing, he accepts a job with a stock brokerage company in a different region of the country. While posting on his social networking webpage he brags about how being a CFA Candidate really helped him get a job. He adds he was so relieved his new employer didn’t ask about his being fired from his former employer. Which CFA Code of Ethics or Standards of Professional Conduct did </w:t>
            </w:r>
            <w:proofErr w:type="spellStart"/>
            <w:r w:rsidRPr="00B5744D">
              <w:rPr>
                <w:rFonts w:ascii="Segoe UI" w:eastAsia="宋体" w:hAnsi="Segoe UI" w:cs="Segoe UI"/>
                <w:color w:val="333333"/>
                <w:kern w:val="0"/>
                <w:sz w:val="18"/>
                <w:szCs w:val="18"/>
              </w:rPr>
              <w:t>Chandarana</w:t>
            </w:r>
            <w:proofErr w:type="spellEnd"/>
            <w:r w:rsidRPr="00B5744D">
              <w:rPr>
                <w:rFonts w:ascii="Segoe UI" w:eastAsia="宋体" w:hAnsi="Segoe UI" w:cs="Segoe UI"/>
                <w:color w:val="333333"/>
                <w:kern w:val="0"/>
                <w:sz w:val="18"/>
                <w:szCs w:val="18"/>
              </w:rPr>
              <w:t xml:space="preserve"> </w:t>
            </w:r>
            <w:r w:rsidRPr="00B5744D">
              <w:rPr>
                <w:rFonts w:ascii="Segoe UI" w:eastAsia="宋体" w:hAnsi="Segoe UI" w:cs="Segoe UI"/>
                <w:i/>
                <w:iCs/>
                <w:color w:val="333333"/>
                <w:kern w:val="0"/>
                <w:sz w:val="18"/>
                <w:szCs w:val="18"/>
              </w:rPr>
              <w:t>least likely</w:t>
            </w:r>
            <w:r w:rsidRPr="00B5744D">
              <w:rPr>
                <w:rFonts w:ascii="Segoe UI" w:eastAsia="宋体" w:hAnsi="Segoe UI" w:cs="Segoe UI"/>
                <w:color w:val="333333"/>
                <w:kern w:val="0"/>
                <w:sz w:val="18"/>
                <w:szCs w:val="18"/>
              </w:rPr>
              <w:t xml:space="preserve"> violate?</w:t>
            </w:r>
          </w:p>
        </w:tc>
      </w:tr>
      <w:tr w:rsidR="00B5744D" w:rsidRPr="00B5744D" w:rsidTr="00B5744D">
        <w:trPr>
          <w:trHeight w:val="525"/>
          <w:tblCellSpacing w:w="15" w:type="dxa"/>
        </w:trPr>
        <w:tc>
          <w:tcPr>
            <w:tcW w:w="375" w:type="dxa"/>
            <w:vAlign w:val="center"/>
            <w:hideMark/>
          </w:tcPr>
          <w:p w:rsidR="00B5744D" w:rsidRPr="00B5744D" w:rsidRDefault="00B5744D" w:rsidP="00B5744D">
            <w:pPr>
              <w:widowControl/>
              <w:jc w:val="left"/>
              <w:rPr>
                <w:rFonts w:ascii="Segoe UI" w:eastAsia="宋体" w:hAnsi="Segoe UI" w:cs="Segoe UI"/>
                <w:color w:val="333333"/>
                <w:kern w:val="0"/>
                <w:sz w:val="18"/>
                <w:szCs w:val="18"/>
              </w:rPr>
            </w:pPr>
            <w:r w:rsidRPr="00B5744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5744D" w:rsidRPr="00B5744D" w:rsidRDefault="00B5744D" w:rsidP="00B5744D">
            <w:pPr>
              <w:widowControl/>
              <w:jc w:val="center"/>
              <w:rPr>
                <w:rFonts w:ascii="Segoe UI" w:eastAsia="宋体" w:hAnsi="Segoe UI" w:cs="Segoe UI"/>
                <w:color w:val="000000"/>
                <w:kern w:val="0"/>
                <w:sz w:val="18"/>
                <w:szCs w:val="18"/>
              </w:rPr>
            </w:pPr>
            <w:r w:rsidRPr="00B5744D">
              <w:rPr>
                <w:rFonts w:ascii="Segoe UI" w:eastAsia="宋体" w:hAnsi="Segoe UI" w:cs="Segoe UI"/>
                <w:color w:val="000000"/>
                <w:kern w:val="0"/>
                <w:sz w:val="18"/>
                <w:szCs w:val="18"/>
              </w:rPr>
              <w:object w:dxaOrig="1440" w:dyaOrig="1440">
                <v:shape id="_x0000_i1090" type="#_x0000_t75" style="width:20.25pt;height:15.75pt" o:ole="">
                  <v:imagedata r:id="rId7" o:title=""/>
                </v:shape>
                <w:control r:id="rId21" w:name="DefaultOcxName6" w:shapeid="_x0000_i109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5744D" w:rsidRPr="00B5744D" w:rsidRDefault="00B5744D" w:rsidP="00B5744D">
            <w:pPr>
              <w:widowControl/>
              <w:jc w:val="left"/>
              <w:rPr>
                <w:rFonts w:ascii="Segoe UI" w:eastAsia="宋体" w:hAnsi="Segoe UI" w:cs="Segoe UI"/>
                <w:color w:val="000000"/>
                <w:kern w:val="0"/>
                <w:sz w:val="18"/>
                <w:szCs w:val="18"/>
              </w:rPr>
            </w:pPr>
            <w:r w:rsidRPr="00B5744D">
              <w:rPr>
                <w:rFonts w:ascii="Segoe UI" w:eastAsia="宋体" w:hAnsi="Segoe UI" w:cs="Segoe UI"/>
                <w:b/>
                <w:bCs/>
                <w:color w:val="000000"/>
                <w:kern w:val="0"/>
                <w:sz w:val="18"/>
                <w:szCs w:val="18"/>
              </w:rPr>
              <w:t>A.</w:t>
            </w:r>
            <w:r w:rsidRPr="00B5744D">
              <w:rPr>
                <w:rFonts w:ascii="Segoe UI" w:eastAsia="宋体" w:hAnsi="Segoe UI" w:cs="Segoe UI"/>
                <w:color w:val="000000"/>
                <w:kern w:val="0"/>
                <w:sz w:val="18"/>
                <w:szCs w:val="18"/>
              </w:rPr>
              <w:t xml:space="preserve"> Integrity</w:t>
            </w: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r>
      <w:tr w:rsidR="00B5744D" w:rsidRPr="00B5744D" w:rsidTr="00B5744D">
        <w:trPr>
          <w:trHeight w:val="525"/>
          <w:tblCellSpacing w:w="15" w:type="dxa"/>
        </w:trPr>
        <w:tc>
          <w:tcPr>
            <w:tcW w:w="375" w:type="dxa"/>
            <w:vAlign w:val="center"/>
            <w:hideMark/>
          </w:tcPr>
          <w:p w:rsidR="00B5744D" w:rsidRPr="00B5744D" w:rsidRDefault="00B5744D" w:rsidP="00B5744D">
            <w:pPr>
              <w:widowControl/>
              <w:jc w:val="left"/>
              <w:rPr>
                <w:rFonts w:ascii="Segoe UI" w:eastAsia="宋体" w:hAnsi="Segoe UI" w:cs="Segoe UI"/>
                <w:color w:val="333333"/>
                <w:kern w:val="0"/>
                <w:sz w:val="18"/>
                <w:szCs w:val="18"/>
              </w:rPr>
            </w:pPr>
            <w:r w:rsidRPr="00B5744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5744D" w:rsidRPr="00B5744D" w:rsidRDefault="00B5744D" w:rsidP="00B5744D">
            <w:pPr>
              <w:widowControl/>
              <w:jc w:val="center"/>
              <w:rPr>
                <w:rFonts w:ascii="Segoe UI" w:eastAsia="宋体" w:hAnsi="Segoe UI" w:cs="Segoe UI"/>
                <w:color w:val="000000"/>
                <w:kern w:val="0"/>
                <w:sz w:val="18"/>
                <w:szCs w:val="18"/>
              </w:rPr>
            </w:pPr>
            <w:r w:rsidRPr="00B5744D">
              <w:rPr>
                <w:rFonts w:ascii="Segoe UI" w:eastAsia="宋体" w:hAnsi="Segoe UI" w:cs="Segoe UI"/>
                <w:color w:val="000000"/>
                <w:kern w:val="0"/>
                <w:sz w:val="18"/>
                <w:szCs w:val="18"/>
              </w:rPr>
              <w:object w:dxaOrig="1440" w:dyaOrig="1440">
                <v:shape id="_x0000_i1089" type="#_x0000_t75" style="width:20.25pt;height:15.75pt" o:ole="">
                  <v:imagedata r:id="rId9" o:title=""/>
                </v:shape>
                <w:control r:id="rId22" w:name="DefaultOcxName14" w:shapeid="_x0000_i108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5744D" w:rsidRPr="00B5744D" w:rsidRDefault="00B5744D" w:rsidP="00B5744D">
            <w:pPr>
              <w:widowControl/>
              <w:jc w:val="left"/>
              <w:rPr>
                <w:rFonts w:ascii="Segoe UI" w:eastAsia="宋体" w:hAnsi="Segoe UI" w:cs="Segoe UI"/>
                <w:color w:val="000000"/>
                <w:kern w:val="0"/>
                <w:sz w:val="18"/>
                <w:szCs w:val="18"/>
              </w:rPr>
            </w:pPr>
            <w:r w:rsidRPr="00B5744D">
              <w:rPr>
                <w:rFonts w:ascii="Segoe UI" w:eastAsia="宋体" w:hAnsi="Segoe UI" w:cs="Segoe UI"/>
                <w:b/>
                <w:bCs/>
                <w:color w:val="000000"/>
                <w:kern w:val="0"/>
                <w:sz w:val="18"/>
                <w:szCs w:val="18"/>
              </w:rPr>
              <w:t>B.</w:t>
            </w:r>
            <w:r w:rsidRPr="00B5744D">
              <w:rPr>
                <w:rFonts w:ascii="Segoe UI" w:eastAsia="宋体" w:hAnsi="Segoe UI" w:cs="Segoe UI"/>
                <w:color w:val="000000"/>
                <w:kern w:val="0"/>
                <w:sz w:val="18"/>
                <w:szCs w:val="18"/>
              </w:rPr>
              <w:t xml:space="preserve"> Duties to Employers</w:t>
            </w: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r>
      <w:tr w:rsidR="00B5744D" w:rsidRPr="00B5744D" w:rsidTr="00B5744D">
        <w:trPr>
          <w:trHeight w:val="525"/>
          <w:tblCellSpacing w:w="15" w:type="dxa"/>
        </w:trPr>
        <w:tc>
          <w:tcPr>
            <w:tcW w:w="375" w:type="dxa"/>
            <w:vAlign w:val="center"/>
            <w:hideMark/>
          </w:tcPr>
          <w:p w:rsidR="00B5744D" w:rsidRPr="00B5744D" w:rsidRDefault="00B5744D" w:rsidP="00B5744D">
            <w:pPr>
              <w:widowControl/>
              <w:jc w:val="left"/>
              <w:rPr>
                <w:rFonts w:ascii="Segoe UI" w:eastAsia="宋体" w:hAnsi="Segoe UI" w:cs="Segoe UI"/>
                <w:color w:val="333333"/>
                <w:kern w:val="0"/>
                <w:sz w:val="18"/>
                <w:szCs w:val="18"/>
              </w:rPr>
            </w:pPr>
            <w:r w:rsidRPr="00B5744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5744D" w:rsidRPr="00B5744D" w:rsidRDefault="00B5744D" w:rsidP="00B5744D">
            <w:pPr>
              <w:widowControl/>
              <w:jc w:val="center"/>
              <w:rPr>
                <w:rFonts w:ascii="Segoe UI" w:eastAsia="宋体" w:hAnsi="Segoe UI" w:cs="Segoe UI"/>
                <w:color w:val="000000"/>
                <w:kern w:val="0"/>
                <w:sz w:val="18"/>
                <w:szCs w:val="18"/>
              </w:rPr>
            </w:pPr>
            <w:r w:rsidRPr="00B5744D">
              <w:rPr>
                <w:rFonts w:ascii="Segoe UI" w:eastAsia="宋体" w:hAnsi="Segoe UI" w:cs="Segoe UI"/>
                <w:color w:val="000000"/>
                <w:kern w:val="0"/>
                <w:sz w:val="18"/>
                <w:szCs w:val="18"/>
              </w:rPr>
              <w:object w:dxaOrig="1440" w:dyaOrig="1440">
                <v:shape id="_x0000_i1088" type="#_x0000_t75" style="width:20.25pt;height:15.75pt" o:ole="">
                  <v:imagedata r:id="rId9" o:title=""/>
                </v:shape>
                <w:control r:id="rId23" w:name="DefaultOcxName24" w:shapeid="_x0000_i108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5744D" w:rsidRPr="00B5744D" w:rsidRDefault="00B5744D" w:rsidP="00B5744D">
            <w:pPr>
              <w:widowControl/>
              <w:jc w:val="left"/>
              <w:rPr>
                <w:rFonts w:ascii="Segoe UI" w:eastAsia="宋体" w:hAnsi="Segoe UI" w:cs="Segoe UI"/>
                <w:color w:val="000000"/>
                <w:kern w:val="0"/>
                <w:sz w:val="18"/>
                <w:szCs w:val="18"/>
              </w:rPr>
            </w:pPr>
            <w:r w:rsidRPr="00B5744D">
              <w:rPr>
                <w:rFonts w:ascii="Segoe UI" w:eastAsia="宋体" w:hAnsi="Segoe UI" w:cs="Segoe UI"/>
                <w:b/>
                <w:bCs/>
                <w:color w:val="000000"/>
                <w:kern w:val="0"/>
                <w:sz w:val="18"/>
                <w:szCs w:val="18"/>
              </w:rPr>
              <w:t>C.</w:t>
            </w:r>
            <w:r w:rsidRPr="00B5744D">
              <w:rPr>
                <w:rFonts w:ascii="Segoe UI" w:eastAsia="宋体" w:hAnsi="Segoe UI" w:cs="Segoe UI"/>
                <w:color w:val="000000"/>
                <w:kern w:val="0"/>
                <w:sz w:val="18"/>
                <w:szCs w:val="18"/>
              </w:rPr>
              <w:t xml:space="preserve"> Reference to the CFA Program</w:t>
            </w: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c>
          <w:tcPr>
            <w:tcW w:w="0" w:type="auto"/>
            <w:vAlign w:val="center"/>
            <w:hideMark/>
          </w:tcPr>
          <w:p w:rsidR="00B5744D" w:rsidRPr="00B5744D" w:rsidRDefault="00B5744D" w:rsidP="00B5744D">
            <w:pPr>
              <w:widowControl/>
              <w:jc w:val="left"/>
              <w:rPr>
                <w:rFonts w:ascii="Times New Roman" w:eastAsia="Times New Roman" w:hAnsi="Times New Roman" w:cs="Times New Roman"/>
                <w:kern w:val="0"/>
                <w:sz w:val="20"/>
                <w:szCs w:val="20"/>
              </w:rPr>
            </w:pPr>
          </w:p>
        </w:tc>
      </w:tr>
      <w:tr w:rsidR="00B5744D" w:rsidRPr="00B5744D" w:rsidTr="00B5744D">
        <w:trPr>
          <w:trHeight w:val="525"/>
          <w:tblCellSpacing w:w="15" w:type="dxa"/>
        </w:trPr>
        <w:tc>
          <w:tcPr>
            <w:tcW w:w="375" w:type="dxa"/>
            <w:noWrap/>
            <w:vAlign w:val="center"/>
            <w:hideMark/>
          </w:tcPr>
          <w:p w:rsidR="00B5744D" w:rsidRPr="00B5744D" w:rsidRDefault="00B5744D" w:rsidP="00B5744D">
            <w:pPr>
              <w:widowControl/>
              <w:jc w:val="center"/>
              <w:rPr>
                <w:rFonts w:ascii="Segoe UI" w:eastAsia="宋体" w:hAnsi="Segoe UI" w:cs="Segoe UI"/>
                <w:color w:val="333333"/>
                <w:kern w:val="0"/>
                <w:sz w:val="18"/>
                <w:szCs w:val="18"/>
              </w:rPr>
            </w:pPr>
            <w:r w:rsidRPr="00B5744D">
              <w:rPr>
                <w:rFonts w:ascii="Segoe UI" w:eastAsia="宋体" w:hAnsi="Segoe UI" w:cs="Segoe UI"/>
                <w:color w:val="333333"/>
                <w:kern w:val="0"/>
                <w:sz w:val="18"/>
                <w:szCs w:val="18"/>
              </w:rPr>
              <w:t> </w:t>
            </w:r>
          </w:p>
        </w:tc>
        <w:tc>
          <w:tcPr>
            <w:tcW w:w="0" w:type="auto"/>
            <w:gridSpan w:val="5"/>
            <w:shd w:val="clear" w:color="auto" w:fill="FF6347"/>
            <w:vAlign w:val="center"/>
            <w:hideMark/>
          </w:tcPr>
          <w:p w:rsidR="00B5744D" w:rsidRPr="00B5744D" w:rsidRDefault="00B5744D" w:rsidP="00B5744D">
            <w:pPr>
              <w:widowControl/>
              <w:jc w:val="left"/>
              <w:rPr>
                <w:rFonts w:ascii="Segoe UI" w:eastAsia="宋体" w:hAnsi="Segoe UI" w:cs="Segoe UI"/>
                <w:color w:val="333333"/>
                <w:kern w:val="0"/>
                <w:sz w:val="18"/>
                <w:szCs w:val="18"/>
              </w:rPr>
            </w:pPr>
            <w:r w:rsidRPr="00B5744D">
              <w:rPr>
                <w:rFonts w:ascii="Segoe UI" w:eastAsia="宋体" w:hAnsi="Segoe UI" w:cs="Segoe UI"/>
                <w:b/>
                <w:bCs/>
                <w:color w:val="000080"/>
                <w:kern w:val="0"/>
                <w:sz w:val="16"/>
                <w:szCs w:val="16"/>
              </w:rPr>
              <w:t>Feedback:</w:t>
            </w:r>
            <w:r w:rsidRPr="00B5744D">
              <w:rPr>
                <w:rFonts w:ascii="Segoe UI" w:eastAsia="宋体" w:hAnsi="Segoe UI" w:cs="Segoe UI"/>
                <w:color w:val="333333"/>
                <w:kern w:val="0"/>
                <w:sz w:val="18"/>
                <w:szCs w:val="18"/>
              </w:rPr>
              <w:t xml:space="preserve"> You have answered incorrectly.</w:t>
            </w:r>
            <w:r w:rsidRPr="00B5744D">
              <w:rPr>
                <w:rFonts w:ascii="Segoe UI" w:eastAsia="宋体" w:hAnsi="Segoe UI" w:cs="Segoe UI"/>
                <w:color w:val="333333"/>
                <w:kern w:val="0"/>
                <w:sz w:val="18"/>
                <w:szCs w:val="18"/>
              </w:rPr>
              <w:br/>
            </w:r>
            <w:r w:rsidRPr="00B5744D">
              <w:rPr>
                <w:rFonts w:ascii="Segoe UI" w:eastAsia="宋体" w:hAnsi="Segoe UI" w:cs="Segoe UI"/>
                <w:color w:val="333333"/>
                <w:kern w:val="0"/>
                <w:sz w:val="18"/>
                <w:szCs w:val="18"/>
              </w:rPr>
              <w:br/>
              <w:t xml:space="preserve">Correct answer: </w:t>
            </w:r>
            <w:r w:rsidRPr="00B5744D">
              <w:rPr>
                <w:rFonts w:ascii="Segoe UI" w:eastAsia="宋体" w:hAnsi="Segoe UI" w:cs="Segoe UI"/>
                <w:b/>
                <w:bCs/>
                <w:color w:val="333333"/>
                <w:kern w:val="0"/>
                <w:sz w:val="18"/>
                <w:szCs w:val="18"/>
              </w:rPr>
              <w:t>C</w:t>
            </w:r>
            <w:r w:rsidRPr="00B5744D">
              <w:rPr>
                <w:rFonts w:ascii="Segoe UI" w:eastAsia="宋体" w:hAnsi="Segoe UI" w:cs="Segoe UI"/>
                <w:color w:val="333333"/>
                <w:kern w:val="0"/>
                <w:sz w:val="18"/>
                <w:szCs w:val="18"/>
              </w:rPr>
              <w:br/>
            </w:r>
            <w:r w:rsidRPr="00B5744D">
              <w:rPr>
                <w:rFonts w:ascii="Segoe UI" w:eastAsia="宋体" w:hAnsi="Segoe UI" w:cs="Segoe UI"/>
                <w:color w:val="333333"/>
                <w:kern w:val="0"/>
                <w:sz w:val="18"/>
                <w:szCs w:val="18"/>
              </w:rPr>
              <w:br/>
              <w:t>"Guidance for Standards I–VII," CFA Institute</w:t>
            </w:r>
            <w:r w:rsidRPr="00B5744D">
              <w:rPr>
                <w:rFonts w:ascii="Segoe UI" w:eastAsia="宋体" w:hAnsi="Segoe UI" w:cs="Segoe UI"/>
                <w:color w:val="333333"/>
                <w:kern w:val="0"/>
                <w:sz w:val="18"/>
                <w:szCs w:val="18"/>
              </w:rPr>
              <w:br/>
              <w:t>2011 Modular Level I, Vol. 1, pp. 46–47, 90–91, 145–147</w:t>
            </w:r>
            <w:r w:rsidRPr="00B5744D">
              <w:rPr>
                <w:rFonts w:ascii="Segoe UI" w:eastAsia="宋体" w:hAnsi="Segoe UI" w:cs="Segoe UI"/>
                <w:color w:val="333333"/>
                <w:kern w:val="0"/>
                <w:sz w:val="18"/>
                <w:szCs w:val="18"/>
              </w:rPr>
              <w:br/>
              <w:t>Study Session 1–2–a, b</w:t>
            </w:r>
            <w:r w:rsidRPr="00B5744D">
              <w:rPr>
                <w:rFonts w:ascii="Segoe UI" w:eastAsia="宋体" w:hAnsi="Segoe UI" w:cs="Segoe UI"/>
                <w:color w:val="333333"/>
                <w:kern w:val="0"/>
                <w:sz w:val="18"/>
                <w:szCs w:val="18"/>
              </w:rPr>
              <w:br/>
              <w:t>Demonstrate a thorough knowledge of the Code of Ethics and Standards of Professional Conduct by applying the Code and Standards to situations involving issues of professional integrity.</w:t>
            </w:r>
            <w:r w:rsidRPr="00B5744D">
              <w:rPr>
                <w:rFonts w:ascii="Segoe UI" w:eastAsia="宋体" w:hAnsi="Segoe UI" w:cs="Segoe UI"/>
                <w:color w:val="333333"/>
                <w:kern w:val="0"/>
                <w:sz w:val="18"/>
                <w:szCs w:val="18"/>
              </w:rPr>
              <w:br/>
              <w:t>Distinguish between conduct that conforms to the Code and Standards and conduct that violates the Code and Standards.</w:t>
            </w:r>
            <w:r w:rsidRPr="00B5744D">
              <w:rPr>
                <w:rFonts w:ascii="Segoe UI" w:eastAsia="宋体" w:hAnsi="Segoe UI" w:cs="Segoe UI"/>
                <w:color w:val="333333"/>
                <w:kern w:val="0"/>
                <w:sz w:val="18"/>
                <w:szCs w:val="18"/>
              </w:rPr>
              <w:br/>
            </w:r>
            <w:r w:rsidRPr="00B5744D">
              <w:rPr>
                <w:rFonts w:ascii="Segoe UI" w:eastAsia="宋体" w:hAnsi="Segoe UI" w:cs="Segoe UI"/>
                <w:color w:val="333333"/>
                <w:kern w:val="0"/>
                <w:sz w:val="18"/>
                <w:szCs w:val="18"/>
              </w:rPr>
              <w:br/>
              <w:t xml:space="preserve">There is no evidence that </w:t>
            </w:r>
            <w:proofErr w:type="spellStart"/>
            <w:r w:rsidRPr="00B5744D">
              <w:rPr>
                <w:rFonts w:ascii="Segoe UI" w:eastAsia="宋体" w:hAnsi="Segoe UI" w:cs="Segoe UI"/>
                <w:color w:val="333333"/>
                <w:kern w:val="0"/>
                <w:sz w:val="18"/>
                <w:szCs w:val="18"/>
              </w:rPr>
              <w:t>Chandarana</w:t>
            </w:r>
            <w:proofErr w:type="spellEnd"/>
            <w:r w:rsidRPr="00B5744D">
              <w:rPr>
                <w:rFonts w:ascii="Segoe UI" w:eastAsia="宋体" w:hAnsi="Segoe UI" w:cs="Segoe UI"/>
                <w:color w:val="333333"/>
                <w:kern w:val="0"/>
                <w:sz w:val="18"/>
                <w:szCs w:val="18"/>
              </w:rPr>
              <w:t xml:space="preserve"> violated Standard </w:t>
            </w:r>
            <w:proofErr w:type="gramStart"/>
            <w:r w:rsidRPr="00B5744D">
              <w:rPr>
                <w:rFonts w:ascii="Segoe UI" w:eastAsia="宋体" w:hAnsi="Segoe UI" w:cs="Segoe UI"/>
                <w:color w:val="333333"/>
                <w:kern w:val="0"/>
                <w:sz w:val="18"/>
                <w:szCs w:val="18"/>
              </w:rPr>
              <w:t>VII(</w:t>
            </w:r>
            <w:proofErr w:type="gramEnd"/>
            <w:r w:rsidRPr="00B5744D">
              <w:rPr>
                <w:rFonts w:ascii="Segoe UI" w:eastAsia="宋体" w:hAnsi="Segoe UI" w:cs="Segoe UI"/>
                <w:color w:val="333333"/>
                <w:kern w:val="0"/>
                <w:sz w:val="18"/>
                <w:szCs w:val="18"/>
              </w:rPr>
              <w:t xml:space="preserve">B) with regard to his being a CFA Candidate. It does appear that </w:t>
            </w:r>
            <w:proofErr w:type="spellStart"/>
            <w:r w:rsidRPr="00B5744D">
              <w:rPr>
                <w:rFonts w:ascii="Segoe UI" w:eastAsia="宋体" w:hAnsi="Segoe UI" w:cs="Segoe UI"/>
                <w:color w:val="333333"/>
                <w:kern w:val="0"/>
                <w:sz w:val="18"/>
                <w:szCs w:val="18"/>
              </w:rPr>
              <w:t>Chandarana</w:t>
            </w:r>
            <w:proofErr w:type="spellEnd"/>
            <w:r w:rsidRPr="00B5744D">
              <w:rPr>
                <w:rFonts w:ascii="Segoe UI" w:eastAsia="宋体" w:hAnsi="Segoe UI" w:cs="Segoe UI"/>
                <w:color w:val="333333"/>
                <w:kern w:val="0"/>
                <w:sz w:val="18"/>
                <w:szCs w:val="18"/>
              </w:rPr>
              <w:t xml:space="preserve"> did not act with integrity when he hid information that </w:t>
            </w:r>
            <w:r w:rsidRPr="00B5744D">
              <w:rPr>
                <w:rFonts w:ascii="Segoe UI" w:eastAsia="宋体" w:hAnsi="Segoe UI" w:cs="Segoe UI"/>
                <w:color w:val="333333"/>
                <w:kern w:val="0"/>
                <w:sz w:val="18"/>
                <w:szCs w:val="18"/>
              </w:rPr>
              <w:lastRenderedPageBreak/>
              <w:t>could potentially harm his new employer's reputation, thus violating Standard I(C), Professionalism (Misrepresentation), and Standard IV(A), Duty to Employers (Loyalty). </w:t>
            </w:r>
          </w:p>
        </w:tc>
      </w:tr>
    </w:tbl>
    <w:p w:rsidR="00B5744D" w:rsidRDefault="00B5744D">
      <w:pPr>
        <w:rPr>
          <w:rFonts w:hint="eastAsia"/>
        </w:rPr>
      </w:pPr>
    </w:p>
    <w:tbl>
      <w:tblPr>
        <w:tblW w:w="5000" w:type="pct"/>
        <w:tblCellSpacing w:w="15" w:type="dxa"/>
        <w:tblCellMar>
          <w:top w:w="30" w:type="dxa"/>
          <w:left w:w="30" w:type="dxa"/>
          <w:bottom w:w="30" w:type="dxa"/>
          <w:right w:w="30" w:type="dxa"/>
        </w:tblCellMar>
        <w:tblLook w:val="04A0"/>
      </w:tblPr>
      <w:tblGrid>
        <w:gridCol w:w="420"/>
        <w:gridCol w:w="781"/>
        <w:gridCol w:w="6952"/>
        <w:gridCol w:w="96"/>
        <w:gridCol w:w="96"/>
        <w:gridCol w:w="111"/>
      </w:tblGrid>
      <w:tr w:rsidR="003554DD" w:rsidRPr="003554DD" w:rsidTr="003554D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3554DD" w:rsidRPr="003554DD" w:rsidRDefault="003554DD" w:rsidP="003554DD">
            <w:pPr>
              <w:widowControl/>
              <w:jc w:val="left"/>
              <w:rPr>
                <w:rFonts w:ascii="Segoe UI" w:eastAsia="宋体" w:hAnsi="Segoe UI" w:cs="Segoe UI"/>
                <w:b/>
                <w:bCs/>
                <w:color w:val="000000"/>
                <w:kern w:val="0"/>
                <w:sz w:val="18"/>
                <w:szCs w:val="18"/>
              </w:rPr>
            </w:pPr>
            <w:r w:rsidRPr="003554DD">
              <w:rPr>
                <w:rFonts w:ascii="Segoe UI" w:eastAsia="宋体" w:hAnsi="Segoe UI" w:cs="Segoe UI"/>
                <w:b/>
                <w:bCs/>
                <w:color w:val="000000"/>
                <w:kern w:val="0"/>
                <w:sz w:val="18"/>
                <w:szCs w:val="18"/>
              </w:rPr>
              <w:t>6</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proofErr w:type="spellStart"/>
            <w:r w:rsidRPr="003554DD">
              <w:rPr>
                <w:rFonts w:ascii="Segoe UI" w:eastAsia="宋体" w:hAnsi="Segoe UI" w:cs="Segoe UI"/>
                <w:color w:val="333333"/>
                <w:kern w:val="0"/>
                <w:sz w:val="18"/>
                <w:szCs w:val="18"/>
              </w:rPr>
              <w:t>Kam</w:t>
            </w:r>
            <w:proofErr w:type="spellEnd"/>
            <w:r w:rsidRPr="003554DD">
              <w:rPr>
                <w:rFonts w:ascii="Segoe UI" w:eastAsia="宋体" w:hAnsi="Segoe UI" w:cs="Segoe UI"/>
                <w:color w:val="333333"/>
                <w:kern w:val="0"/>
                <w:sz w:val="18"/>
                <w:szCs w:val="18"/>
              </w:rPr>
              <w:t xml:space="preserve"> Bergeron, CFA, is an equity portfolio manager who often takes time off in the afternoon to play golf with important clients. Today, Bergeron is on the golf course when his game is interrupted by a phone call from his office. The call is from Bergeron’s assistant, who notifies him of a steep and accelerating market decline. Bergeron, eager to get back to his clients, tells his assistant to raise cash by selling 15 percent of all clients’ holdings. Bergeron instructs his assistant to first sell the most liquid stocks in each client’s portfolio and then do the same for his personal account. Bergeron is </w:t>
            </w:r>
            <w:r w:rsidRPr="003554DD">
              <w:rPr>
                <w:rFonts w:ascii="Segoe UI" w:eastAsia="宋体" w:hAnsi="Segoe UI" w:cs="Segoe UI"/>
                <w:i/>
                <w:iCs/>
                <w:color w:val="333333"/>
                <w:kern w:val="0"/>
                <w:sz w:val="18"/>
                <w:szCs w:val="18"/>
              </w:rPr>
              <w:t>least likely</w:t>
            </w:r>
            <w:r w:rsidRPr="003554DD">
              <w:rPr>
                <w:rFonts w:ascii="Segoe UI" w:eastAsia="宋体" w:hAnsi="Segoe UI" w:cs="Segoe UI"/>
                <w:color w:val="333333"/>
                <w:kern w:val="0"/>
                <w:sz w:val="18"/>
                <w:szCs w:val="18"/>
              </w:rPr>
              <w:t xml:space="preserve"> to be in violation of which CFA Institute Standards of Professional Conduct?</w:t>
            </w: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099" type="#_x0000_t75" style="width:20.25pt;height:15.75pt" o:ole="">
                  <v:imagedata r:id="rId7" o:title=""/>
                </v:shape>
                <w:control r:id="rId24" w:name="DefaultOcxName7" w:shapeid="_x0000_i109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A.</w:t>
            </w:r>
            <w:r w:rsidRPr="003554DD">
              <w:rPr>
                <w:rFonts w:ascii="Segoe UI" w:eastAsia="宋体" w:hAnsi="Segoe UI" w:cs="Segoe UI"/>
                <w:color w:val="000000"/>
                <w:kern w:val="0"/>
                <w:sz w:val="18"/>
                <w:szCs w:val="18"/>
              </w:rPr>
              <w:t xml:space="preserve"> Suitability</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098" type="#_x0000_t75" style="width:20.25pt;height:15.75pt" o:ole="">
                  <v:imagedata r:id="rId9" o:title=""/>
                </v:shape>
                <w:control r:id="rId25" w:name="DefaultOcxName15" w:shapeid="_x0000_i109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B.</w:t>
            </w:r>
            <w:r w:rsidRPr="003554DD">
              <w:rPr>
                <w:rFonts w:ascii="Segoe UI" w:eastAsia="宋体" w:hAnsi="Segoe UI" w:cs="Segoe UI"/>
                <w:color w:val="000000"/>
                <w:kern w:val="0"/>
                <w:sz w:val="18"/>
                <w:szCs w:val="18"/>
              </w:rPr>
              <w:t xml:space="preserve"> Priority of transactions</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097" type="#_x0000_t75" style="width:20.25pt;height:15.75pt" o:ole="">
                  <v:imagedata r:id="rId9" o:title=""/>
                </v:shape>
                <w:control r:id="rId26" w:name="DefaultOcxName25" w:shapeid="_x0000_i109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C.</w:t>
            </w:r>
            <w:r w:rsidRPr="003554DD">
              <w:rPr>
                <w:rFonts w:ascii="Segoe UI" w:eastAsia="宋体" w:hAnsi="Segoe UI" w:cs="Segoe UI"/>
                <w:color w:val="000000"/>
                <w:kern w:val="0"/>
                <w:sz w:val="18"/>
                <w:szCs w:val="18"/>
              </w:rPr>
              <w:t xml:space="preserve"> Diligence and reasonable basis</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noWrap/>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0" w:type="auto"/>
            <w:gridSpan w:val="5"/>
            <w:shd w:val="clear" w:color="auto" w:fill="FF6347"/>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b/>
                <w:bCs/>
                <w:color w:val="000080"/>
                <w:kern w:val="0"/>
                <w:sz w:val="16"/>
                <w:szCs w:val="16"/>
              </w:rPr>
              <w:t>Feedback:</w:t>
            </w:r>
            <w:r w:rsidRPr="003554DD">
              <w:rPr>
                <w:rFonts w:ascii="Segoe UI" w:eastAsia="宋体" w:hAnsi="Segoe UI" w:cs="Segoe UI"/>
                <w:color w:val="333333"/>
                <w:kern w:val="0"/>
                <w:sz w:val="18"/>
                <w:szCs w:val="18"/>
              </w:rPr>
              <w:t xml:space="preserve"> You have answered incorrectly.</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 xml:space="preserve">Correct answer: </w:t>
            </w:r>
            <w:r w:rsidRPr="003554DD">
              <w:rPr>
                <w:rFonts w:ascii="Segoe UI" w:eastAsia="宋体" w:hAnsi="Segoe UI" w:cs="Segoe UI"/>
                <w:b/>
                <w:bCs/>
                <w:color w:val="333333"/>
                <w:kern w:val="0"/>
                <w:sz w:val="18"/>
                <w:szCs w:val="18"/>
              </w:rPr>
              <w:t>B</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CFA Institute Standards</w:t>
            </w:r>
            <w:r w:rsidRPr="003554DD">
              <w:rPr>
                <w:rFonts w:ascii="Segoe UI" w:eastAsia="宋体" w:hAnsi="Segoe UI" w:cs="Segoe UI"/>
                <w:color w:val="333333"/>
                <w:kern w:val="0"/>
                <w:sz w:val="18"/>
                <w:szCs w:val="18"/>
              </w:rPr>
              <w:br/>
              <w:t>2011 Modular Level I, Vol. 1, pp. 76, 105, 114, 131</w:t>
            </w:r>
            <w:r w:rsidRPr="003554DD">
              <w:rPr>
                <w:rFonts w:ascii="Segoe UI" w:eastAsia="宋体" w:hAnsi="Segoe UI" w:cs="Segoe UI"/>
                <w:color w:val="333333"/>
                <w:kern w:val="0"/>
                <w:sz w:val="18"/>
                <w:szCs w:val="18"/>
              </w:rPr>
              <w:br/>
              <w:t>Study Session 1–2–b</w:t>
            </w:r>
            <w:r w:rsidRPr="003554DD">
              <w:rPr>
                <w:rFonts w:ascii="Segoe UI" w:eastAsia="宋体" w:hAnsi="Segoe UI" w:cs="Segoe UI"/>
                <w:color w:val="333333"/>
                <w:kern w:val="0"/>
                <w:sz w:val="18"/>
                <w:szCs w:val="18"/>
              </w:rPr>
              <w:br/>
              <w:t>Distinguish between conduct that conforms to the Code and Standards and conduct that violates the Code and Standards.</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There is no indication that a violation of this standard (</w:t>
            </w:r>
            <w:proofErr w:type="gramStart"/>
            <w:r w:rsidRPr="003554DD">
              <w:rPr>
                <w:rFonts w:ascii="Segoe UI" w:eastAsia="宋体" w:hAnsi="Segoe UI" w:cs="Segoe UI"/>
                <w:color w:val="333333"/>
                <w:kern w:val="0"/>
                <w:sz w:val="18"/>
                <w:szCs w:val="18"/>
              </w:rPr>
              <w:t>VI(</w:t>
            </w:r>
            <w:proofErr w:type="gramEnd"/>
            <w:r w:rsidRPr="003554DD">
              <w:rPr>
                <w:rFonts w:ascii="Segoe UI" w:eastAsia="宋体" w:hAnsi="Segoe UI" w:cs="Segoe UI"/>
                <w:color w:val="333333"/>
                <w:kern w:val="0"/>
                <w:sz w:val="18"/>
                <w:szCs w:val="18"/>
              </w:rPr>
              <w:t>B), Conflicts of Interest (Priority of Transactions)) occurred. The standard concerns transactions for clients having priority over employees' transactions and is not applicable in this case since the manager sells his personal holdings after clients' holdings. </w:t>
            </w:r>
          </w:p>
        </w:tc>
      </w:tr>
    </w:tbl>
    <w:p w:rsidR="00B5744D" w:rsidRDefault="00B5744D">
      <w:pPr>
        <w:rPr>
          <w:rFonts w:hint="eastAsia"/>
        </w:rPr>
      </w:pPr>
    </w:p>
    <w:tbl>
      <w:tblPr>
        <w:tblW w:w="5000" w:type="pct"/>
        <w:tblCellSpacing w:w="15" w:type="dxa"/>
        <w:tblCellMar>
          <w:top w:w="30" w:type="dxa"/>
          <w:left w:w="30" w:type="dxa"/>
          <w:bottom w:w="30" w:type="dxa"/>
          <w:right w:w="30" w:type="dxa"/>
        </w:tblCellMar>
        <w:tblLook w:val="04A0"/>
      </w:tblPr>
      <w:tblGrid>
        <w:gridCol w:w="420"/>
        <w:gridCol w:w="776"/>
        <w:gridCol w:w="6957"/>
        <w:gridCol w:w="96"/>
        <w:gridCol w:w="96"/>
        <w:gridCol w:w="111"/>
      </w:tblGrid>
      <w:tr w:rsidR="003554DD" w:rsidRPr="003554DD" w:rsidTr="003554D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3554DD" w:rsidRPr="003554DD" w:rsidRDefault="003554DD" w:rsidP="003554DD">
            <w:pPr>
              <w:widowControl/>
              <w:jc w:val="left"/>
              <w:rPr>
                <w:rFonts w:ascii="Segoe UI" w:eastAsia="宋体" w:hAnsi="Segoe UI" w:cs="Segoe UI"/>
                <w:b/>
                <w:bCs/>
                <w:color w:val="000000"/>
                <w:kern w:val="0"/>
                <w:sz w:val="18"/>
                <w:szCs w:val="18"/>
              </w:rPr>
            </w:pPr>
            <w:r w:rsidRPr="003554DD">
              <w:rPr>
                <w:rFonts w:ascii="Segoe UI" w:eastAsia="宋体" w:hAnsi="Segoe UI" w:cs="Segoe UI"/>
                <w:b/>
                <w:bCs/>
                <w:color w:val="000000"/>
                <w:kern w:val="0"/>
                <w:sz w:val="18"/>
                <w:szCs w:val="18"/>
              </w:rPr>
              <w:t>7</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xml:space="preserve">Ileana Inkster, CFA, was recently offered a senior management position with the trust department of a regional bank. The department is new but the bank has plans to expand it significantly over the next few months. Inkster has been told she needs to aid that growth and has been asked to have her department conduct educational seminars and then pursue new business by follow-up contacts with the attendees. Inkster notices that advertisements for upcoming seminars, prepared by the marketing department, do not mention any investment products. The ads indicate attendees can “learn how to immediately add $100,000 to their net worth.” What is the first action Inkster </w:t>
            </w:r>
            <w:r w:rsidRPr="003554DD">
              <w:rPr>
                <w:rFonts w:ascii="Segoe UI" w:eastAsia="宋体" w:hAnsi="Segoe UI" w:cs="Segoe UI"/>
                <w:i/>
                <w:iCs/>
                <w:color w:val="333333"/>
                <w:kern w:val="0"/>
                <w:sz w:val="18"/>
                <w:szCs w:val="18"/>
              </w:rPr>
              <w:t>most likely</w:t>
            </w:r>
            <w:r w:rsidRPr="003554DD">
              <w:rPr>
                <w:rFonts w:ascii="Segoe UI" w:eastAsia="宋体" w:hAnsi="Segoe UI" w:cs="Segoe UI"/>
                <w:color w:val="333333"/>
                <w:kern w:val="0"/>
                <w:sz w:val="18"/>
                <w:szCs w:val="18"/>
              </w:rPr>
              <w:t xml:space="preserve"> should take to avoid violating any CFA Institute Standards of Professional Conduct?</w:t>
            </w: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08" type="#_x0000_t75" style="width:20.25pt;height:15.75pt" o:ole="">
                  <v:imagedata r:id="rId7" o:title=""/>
                </v:shape>
                <w:control r:id="rId27" w:name="DefaultOcxName8" w:shapeid="_x0000_i110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A.</w:t>
            </w:r>
            <w:r w:rsidRPr="003554DD">
              <w:rPr>
                <w:rFonts w:ascii="Segoe UI" w:eastAsia="宋体" w:hAnsi="Segoe UI" w:cs="Segoe UI"/>
                <w:color w:val="000000"/>
                <w:kern w:val="0"/>
                <w:sz w:val="18"/>
                <w:szCs w:val="18"/>
              </w:rPr>
              <w:t xml:space="preserve"> Decline to accept the new position.</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07" type="#_x0000_t75" style="width:20.25pt;height:15.75pt" o:ole="">
                  <v:imagedata r:id="rId9" o:title=""/>
                </v:shape>
                <w:control r:id="rId28" w:name="DefaultOcxName16" w:shapeid="_x0000_i110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B.</w:t>
            </w:r>
            <w:r w:rsidRPr="003554DD">
              <w:rPr>
                <w:rFonts w:ascii="Segoe UI" w:eastAsia="宋体" w:hAnsi="Segoe UI" w:cs="Segoe UI"/>
                <w:color w:val="000000"/>
                <w:kern w:val="0"/>
                <w:sz w:val="18"/>
                <w:szCs w:val="18"/>
              </w:rPr>
              <w:t xml:space="preserve"> Accept the position and revise the marketing material.</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06" type="#_x0000_t75" style="width:20.25pt;height:15.75pt" o:ole="">
                  <v:imagedata r:id="rId9" o:title=""/>
                </v:shape>
                <w:control r:id="rId29" w:name="DefaultOcxName26" w:shapeid="_x0000_i110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C.</w:t>
            </w:r>
            <w:r w:rsidRPr="003554DD">
              <w:rPr>
                <w:rFonts w:ascii="Segoe UI" w:eastAsia="宋体" w:hAnsi="Segoe UI" w:cs="Segoe UI"/>
                <w:color w:val="000000"/>
                <w:kern w:val="0"/>
                <w:sz w:val="18"/>
                <w:szCs w:val="18"/>
              </w:rPr>
              <w:t xml:space="preserve"> Accept the position but bring the lack of procedures to the attention of senior management.</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noWrap/>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0" w:type="auto"/>
            <w:gridSpan w:val="5"/>
            <w:shd w:val="clear" w:color="auto" w:fill="9ACD32"/>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b/>
                <w:bCs/>
                <w:color w:val="000080"/>
                <w:kern w:val="0"/>
                <w:sz w:val="16"/>
                <w:szCs w:val="16"/>
              </w:rPr>
              <w:t>Feedback:</w:t>
            </w:r>
            <w:r w:rsidRPr="003554DD">
              <w:rPr>
                <w:rFonts w:ascii="Segoe UI" w:eastAsia="宋体" w:hAnsi="Segoe UI" w:cs="Segoe UI"/>
                <w:color w:val="333333"/>
                <w:kern w:val="0"/>
                <w:sz w:val="18"/>
                <w:szCs w:val="18"/>
              </w:rPr>
              <w:t xml:space="preserve"> You have answered correctly.</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 xml:space="preserve">Correct answer: </w:t>
            </w:r>
            <w:r w:rsidRPr="003554DD">
              <w:rPr>
                <w:rFonts w:ascii="Segoe UI" w:eastAsia="宋体" w:hAnsi="Segoe UI" w:cs="Segoe UI"/>
                <w:b/>
                <w:bCs/>
                <w:color w:val="333333"/>
                <w:kern w:val="0"/>
                <w:sz w:val="18"/>
                <w:szCs w:val="18"/>
              </w:rPr>
              <w:t>A</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"Code of Ethics and Standards of Professional Conduct," CFA Institute</w:t>
            </w:r>
            <w:r w:rsidRPr="003554DD">
              <w:rPr>
                <w:rFonts w:ascii="Segoe UI" w:eastAsia="宋体" w:hAnsi="Segoe UI" w:cs="Segoe UI"/>
                <w:color w:val="333333"/>
                <w:kern w:val="0"/>
                <w:sz w:val="18"/>
                <w:szCs w:val="18"/>
              </w:rPr>
              <w:br/>
              <w:t>2011 Modular Level I, Vol. 1, p. 99</w:t>
            </w:r>
            <w:r w:rsidRPr="003554DD">
              <w:rPr>
                <w:rFonts w:ascii="Segoe UI" w:eastAsia="宋体" w:hAnsi="Segoe UI" w:cs="Segoe UI"/>
                <w:color w:val="333333"/>
                <w:kern w:val="0"/>
                <w:sz w:val="18"/>
                <w:szCs w:val="18"/>
              </w:rPr>
              <w:br/>
              <w:t>Study Session 1–2–c</w:t>
            </w:r>
            <w:r w:rsidRPr="003554DD">
              <w:rPr>
                <w:rFonts w:ascii="Segoe UI" w:eastAsia="宋体" w:hAnsi="Segoe UI" w:cs="Segoe UI"/>
                <w:color w:val="333333"/>
                <w:kern w:val="0"/>
                <w:sz w:val="18"/>
                <w:szCs w:val="18"/>
              </w:rPr>
              <w:br/>
              <w:t>Recommend practices and procedures designed to prevent violations of the Code of Ethics and Standards of Professional Conduct.</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The prospective supervisor's first step should be to bring the inadequate compliance system to the attention of the firm's senior managers and recommend corrective action before taking the position. This may be accomplished by the supervisor taking on an interim consulting role with the bank in order to implement adequate procedures before taking on the supervisory role. </w:t>
            </w:r>
          </w:p>
        </w:tc>
      </w:tr>
    </w:tbl>
    <w:p w:rsidR="003554DD" w:rsidRDefault="003554DD">
      <w:pPr>
        <w:rPr>
          <w:rFonts w:hint="eastAsia"/>
        </w:rPr>
      </w:pPr>
    </w:p>
    <w:tbl>
      <w:tblPr>
        <w:tblW w:w="5000" w:type="pct"/>
        <w:tblCellSpacing w:w="15" w:type="dxa"/>
        <w:tblCellMar>
          <w:top w:w="30" w:type="dxa"/>
          <w:left w:w="30" w:type="dxa"/>
          <w:bottom w:w="30" w:type="dxa"/>
          <w:right w:w="30" w:type="dxa"/>
        </w:tblCellMar>
        <w:tblLook w:val="04A0"/>
      </w:tblPr>
      <w:tblGrid>
        <w:gridCol w:w="420"/>
        <w:gridCol w:w="775"/>
        <w:gridCol w:w="6958"/>
        <w:gridCol w:w="96"/>
        <w:gridCol w:w="96"/>
        <w:gridCol w:w="111"/>
      </w:tblGrid>
      <w:tr w:rsidR="003554DD" w:rsidRPr="003554DD" w:rsidTr="003554D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3554DD" w:rsidRPr="003554DD" w:rsidRDefault="003554DD" w:rsidP="003554DD">
            <w:pPr>
              <w:widowControl/>
              <w:jc w:val="left"/>
              <w:rPr>
                <w:rFonts w:ascii="Segoe UI" w:eastAsia="宋体" w:hAnsi="Segoe UI" w:cs="Segoe UI"/>
                <w:b/>
                <w:bCs/>
                <w:color w:val="000000"/>
                <w:kern w:val="0"/>
                <w:sz w:val="18"/>
                <w:szCs w:val="18"/>
              </w:rPr>
            </w:pPr>
            <w:r w:rsidRPr="003554DD">
              <w:rPr>
                <w:rFonts w:ascii="Segoe UI" w:eastAsia="宋体" w:hAnsi="Segoe UI" w:cs="Segoe UI"/>
                <w:b/>
                <w:bCs/>
                <w:color w:val="000000"/>
                <w:kern w:val="0"/>
                <w:sz w:val="18"/>
                <w:szCs w:val="18"/>
              </w:rPr>
              <w:t>8</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xml:space="preserve">Molly Burnett, CFA, is a portfolio manager that specializes in investing in environmentally friendly companies. A multinational utility company recently acquired one of Burnett’s best performing investments, a wind power company. The wind power company’s shareholders received utility company shares as part of the merger agreement. The utility has one of the worst environmental records in the industry, but its shares have been one of the top performers over the past 12 months. Because the utility pays a high dividend every three months, Burnett holds the utility shares until the remaining two dividends are paid for the year, and then sells the shares. Burnett </w:t>
            </w:r>
            <w:r w:rsidRPr="003554DD">
              <w:rPr>
                <w:rFonts w:ascii="Segoe UI" w:eastAsia="宋体" w:hAnsi="Segoe UI" w:cs="Segoe UI"/>
                <w:i/>
                <w:iCs/>
                <w:color w:val="333333"/>
                <w:kern w:val="0"/>
                <w:sz w:val="18"/>
                <w:szCs w:val="18"/>
              </w:rPr>
              <w:t>most likely</w:t>
            </w:r>
            <w:r w:rsidRPr="003554DD">
              <w:rPr>
                <w:rFonts w:ascii="Segoe UI" w:eastAsia="宋体" w:hAnsi="Segoe UI" w:cs="Segoe UI"/>
                <w:color w:val="333333"/>
                <w:kern w:val="0"/>
                <w:sz w:val="18"/>
                <w:szCs w:val="18"/>
              </w:rPr>
              <w:t xml:space="preserve"> violated the CFA Institute Standards of Professional Conduct concerning:</w:t>
            </w: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17" type="#_x0000_t75" style="width:20.25pt;height:15.75pt" o:ole="">
                  <v:imagedata r:id="rId7" o:title=""/>
                </v:shape>
                <w:control r:id="rId30" w:name="DefaultOcxName9" w:shapeid="_x0000_i111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A.</w:t>
            </w:r>
            <w:r w:rsidRPr="003554DD">
              <w:rPr>
                <w:rFonts w:ascii="Segoe UI" w:eastAsia="宋体" w:hAnsi="Segoe UI" w:cs="Segoe UI"/>
                <w:color w:val="000000"/>
                <w:kern w:val="0"/>
                <w:sz w:val="18"/>
                <w:szCs w:val="18"/>
              </w:rPr>
              <w:t xml:space="preserve"> suitability.</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16" type="#_x0000_t75" style="width:20.25pt;height:15.75pt" o:ole="">
                  <v:imagedata r:id="rId9" o:title=""/>
                </v:shape>
                <w:control r:id="rId31" w:name="DefaultOcxName17" w:shapeid="_x0000_i111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B.</w:t>
            </w:r>
            <w:r w:rsidRPr="003554DD">
              <w:rPr>
                <w:rFonts w:ascii="Segoe UI" w:eastAsia="宋体" w:hAnsi="Segoe UI" w:cs="Segoe UI"/>
                <w:color w:val="000000"/>
                <w:kern w:val="0"/>
                <w:sz w:val="18"/>
                <w:szCs w:val="18"/>
              </w:rPr>
              <w:t xml:space="preserve"> disclosure of conflicts.</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15" type="#_x0000_t75" style="width:20.25pt;height:15.75pt" o:ole="">
                  <v:imagedata r:id="rId9" o:title=""/>
                </v:shape>
                <w:control r:id="rId32" w:name="DefaultOcxName27" w:shapeid="_x0000_i111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C.</w:t>
            </w:r>
            <w:r w:rsidRPr="003554DD">
              <w:rPr>
                <w:rFonts w:ascii="Segoe UI" w:eastAsia="宋体" w:hAnsi="Segoe UI" w:cs="Segoe UI"/>
                <w:color w:val="000000"/>
                <w:kern w:val="0"/>
                <w:sz w:val="18"/>
                <w:szCs w:val="18"/>
              </w:rPr>
              <w:t xml:space="preserve"> independence and objectivity.</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noWrap/>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0" w:type="auto"/>
            <w:gridSpan w:val="5"/>
            <w:shd w:val="clear" w:color="auto" w:fill="9ACD32"/>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b/>
                <w:bCs/>
                <w:color w:val="000080"/>
                <w:kern w:val="0"/>
                <w:sz w:val="16"/>
                <w:szCs w:val="16"/>
              </w:rPr>
              <w:t>Feedback:</w:t>
            </w:r>
            <w:r w:rsidRPr="003554DD">
              <w:rPr>
                <w:rFonts w:ascii="Segoe UI" w:eastAsia="宋体" w:hAnsi="Segoe UI" w:cs="Segoe UI"/>
                <w:color w:val="333333"/>
                <w:kern w:val="0"/>
                <w:sz w:val="18"/>
                <w:szCs w:val="18"/>
              </w:rPr>
              <w:t xml:space="preserve"> You have answered correctly.</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 xml:space="preserve">Correct answer: </w:t>
            </w:r>
            <w:r w:rsidRPr="003554DD">
              <w:rPr>
                <w:rFonts w:ascii="Segoe UI" w:eastAsia="宋体" w:hAnsi="Segoe UI" w:cs="Segoe UI"/>
                <w:b/>
                <w:bCs/>
                <w:color w:val="333333"/>
                <w:kern w:val="0"/>
                <w:sz w:val="18"/>
                <w:szCs w:val="18"/>
              </w:rPr>
              <w:t>A</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"Code of Ethics and Standards of Professional Conduct," CFA Institute</w:t>
            </w:r>
            <w:r w:rsidRPr="003554DD">
              <w:rPr>
                <w:rFonts w:ascii="Segoe UI" w:eastAsia="宋体" w:hAnsi="Segoe UI" w:cs="Segoe UI"/>
                <w:color w:val="333333"/>
                <w:kern w:val="0"/>
                <w:sz w:val="18"/>
                <w:szCs w:val="18"/>
              </w:rPr>
              <w:br/>
              <w:t>2011 Modular Level I, Vol. 1, pp. 25, 76, 121</w:t>
            </w:r>
            <w:r w:rsidRPr="003554DD">
              <w:rPr>
                <w:rFonts w:ascii="Segoe UI" w:eastAsia="宋体" w:hAnsi="Segoe UI" w:cs="Segoe UI"/>
                <w:color w:val="333333"/>
                <w:kern w:val="0"/>
                <w:sz w:val="18"/>
                <w:szCs w:val="18"/>
              </w:rPr>
              <w:br/>
              <w:t>Study Session 1–2–b</w:t>
            </w:r>
            <w:r w:rsidRPr="003554DD">
              <w:rPr>
                <w:rFonts w:ascii="Segoe UI" w:eastAsia="宋体" w:hAnsi="Segoe UI" w:cs="Segoe UI"/>
                <w:color w:val="333333"/>
                <w:kern w:val="0"/>
                <w:sz w:val="18"/>
                <w:szCs w:val="18"/>
              </w:rPr>
              <w:br/>
              <w:t xml:space="preserve">Distinguish between conduct that conforms to the Code and Standards and conduct that violates </w:t>
            </w:r>
            <w:r w:rsidRPr="003554DD">
              <w:rPr>
                <w:rFonts w:ascii="Segoe UI" w:eastAsia="宋体" w:hAnsi="Segoe UI" w:cs="Segoe UI"/>
                <w:color w:val="333333"/>
                <w:kern w:val="0"/>
                <w:sz w:val="18"/>
                <w:szCs w:val="18"/>
              </w:rPr>
              <w:lastRenderedPageBreak/>
              <w:t>the Code and Standards.</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The utility is not a suitable investment for clients who desire investments in companies with good environmental records. </w:t>
            </w:r>
          </w:p>
        </w:tc>
      </w:tr>
    </w:tbl>
    <w:p w:rsidR="003554DD" w:rsidRDefault="003554DD">
      <w:pPr>
        <w:rPr>
          <w:rFonts w:hint="eastAsia"/>
        </w:rPr>
      </w:pPr>
    </w:p>
    <w:tbl>
      <w:tblPr>
        <w:tblW w:w="5000" w:type="pct"/>
        <w:tblCellSpacing w:w="15" w:type="dxa"/>
        <w:tblCellMar>
          <w:top w:w="30" w:type="dxa"/>
          <w:left w:w="30" w:type="dxa"/>
          <w:bottom w:w="30" w:type="dxa"/>
          <w:right w:w="30" w:type="dxa"/>
        </w:tblCellMar>
        <w:tblLook w:val="04A0"/>
      </w:tblPr>
      <w:tblGrid>
        <w:gridCol w:w="420"/>
        <w:gridCol w:w="777"/>
        <w:gridCol w:w="6956"/>
        <w:gridCol w:w="96"/>
        <w:gridCol w:w="96"/>
        <w:gridCol w:w="111"/>
      </w:tblGrid>
      <w:tr w:rsidR="003554DD" w:rsidRPr="003554DD" w:rsidTr="003554D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3554DD" w:rsidRPr="003554DD" w:rsidRDefault="003554DD" w:rsidP="003554DD">
            <w:pPr>
              <w:widowControl/>
              <w:jc w:val="left"/>
              <w:rPr>
                <w:rFonts w:ascii="Segoe UI" w:eastAsia="宋体" w:hAnsi="Segoe UI" w:cs="Segoe UI"/>
                <w:b/>
                <w:bCs/>
                <w:color w:val="000000"/>
                <w:kern w:val="0"/>
                <w:sz w:val="18"/>
                <w:szCs w:val="18"/>
              </w:rPr>
            </w:pPr>
            <w:r w:rsidRPr="003554DD">
              <w:rPr>
                <w:rFonts w:ascii="Segoe UI" w:eastAsia="宋体" w:hAnsi="Segoe UI" w:cs="Segoe UI"/>
                <w:b/>
                <w:bCs/>
                <w:color w:val="000000"/>
                <w:kern w:val="0"/>
                <w:sz w:val="18"/>
                <w:szCs w:val="18"/>
              </w:rPr>
              <w:t>9</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proofErr w:type="spellStart"/>
            <w:r w:rsidRPr="003554DD">
              <w:rPr>
                <w:rFonts w:ascii="Segoe UI" w:eastAsia="宋体" w:hAnsi="Segoe UI" w:cs="Segoe UI"/>
                <w:color w:val="333333"/>
                <w:kern w:val="0"/>
                <w:sz w:val="18"/>
                <w:szCs w:val="18"/>
              </w:rPr>
              <w:t>Pia</w:t>
            </w:r>
            <w:proofErr w:type="spellEnd"/>
            <w:r w:rsidRPr="003554DD">
              <w:rPr>
                <w:rFonts w:ascii="Segoe UI" w:eastAsia="宋体" w:hAnsi="Segoe UI" w:cs="Segoe UI"/>
                <w:color w:val="333333"/>
                <w:kern w:val="0"/>
                <w:sz w:val="18"/>
                <w:szCs w:val="18"/>
              </w:rPr>
              <w:t xml:space="preserve"> Nilsson is a sole proprietor investment advisor. The economic recession has reduced the number of clients that she advises and her revenues. As a result, Nilsson has not paid her CFA Institute membership dues for the past two years. When a national financial publication interviewed Nilsson recently, she indicated that she had been a CFA </w:t>
            </w:r>
            <w:proofErr w:type="spellStart"/>
            <w:r w:rsidRPr="003554DD">
              <w:rPr>
                <w:rFonts w:ascii="Segoe UI" w:eastAsia="宋体" w:hAnsi="Segoe UI" w:cs="Segoe UI"/>
                <w:color w:val="333333"/>
                <w:kern w:val="0"/>
                <w:sz w:val="18"/>
                <w:szCs w:val="18"/>
              </w:rPr>
              <w:t>charterholder</w:t>
            </w:r>
            <w:proofErr w:type="spellEnd"/>
            <w:r w:rsidRPr="003554DD">
              <w:rPr>
                <w:rFonts w:ascii="Segoe UI" w:eastAsia="宋体" w:hAnsi="Segoe UI" w:cs="Segoe UI"/>
                <w:color w:val="333333"/>
                <w:kern w:val="0"/>
                <w:sz w:val="18"/>
                <w:szCs w:val="18"/>
              </w:rPr>
              <w:t xml:space="preserve"> for many years. In addition, she stated that the completion of the CFA program contributed to her successful career, enhanced her portfolio management skills, and enabled her to achieve superior returns and performance results. Nilsson’s actions concerning which of the following </w:t>
            </w:r>
            <w:r w:rsidRPr="003554DD">
              <w:rPr>
                <w:rFonts w:ascii="Segoe UI" w:eastAsia="宋体" w:hAnsi="Segoe UI" w:cs="Segoe UI"/>
                <w:i/>
                <w:iCs/>
                <w:color w:val="333333"/>
                <w:kern w:val="0"/>
                <w:sz w:val="18"/>
                <w:szCs w:val="18"/>
              </w:rPr>
              <w:t>most likely</w:t>
            </w:r>
            <w:r w:rsidRPr="003554DD">
              <w:rPr>
                <w:rFonts w:ascii="Segoe UI" w:eastAsia="宋体" w:hAnsi="Segoe UI" w:cs="Segoe UI"/>
                <w:color w:val="333333"/>
                <w:kern w:val="0"/>
                <w:sz w:val="18"/>
                <w:szCs w:val="18"/>
              </w:rPr>
              <w:t xml:space="preserve"> violated the CFA Institute Standards of Professional Conduct?</w:t>
            </w: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26" type="#_x0000_t75" style="width:20.25pt;height:15.75pt" o:ole="">
                  <v:imagedata r:id="rId7" o:title=""/>
                </v:shape>
                <w:control r:id="rId33" w:name="DefaultOcxName10" w:shapeid="_x0000_i112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A.</w:t>
            </w:r>
            <w:r w:rsidRPr="003554DD">
              <w:rPr>
                <w:rFonts w:ascii="Segoe UI" w:eastAsia="宋体" w:hAnsi="Segoe UI" w:cs="Segoe UI"/>
                <w:color w:val="000000"/>
                <w:kern w:val="0"/>
                <w:sz w:val="18"/>
                <w:szCs w:val="18"/>
              </w:rPr>
              <w:t xml:space="preserve"> Discussion of the CFA Program</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25" type="#_x0000_t75" style="width:20.25pt;height:15.75pt" o:ole="">
                  <v:imagedata r:id="rId9" o:title=""/>
                </v:shape>
                <w:control r:id="rId34" w:name="DefaultOcxName18" w:shapeid="_x0000_i112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B.</w:t>
            </w:r>
            <w:r w:rsidRPr="003554DD">
              <w:rPr>
                <w:rFonts w:ascii="Segoe UI" w:eastAsia="宋体" w:hAnsi="Segoe UI" w:cs="Segoe UI"/>
                <w:color w:val="000000"/>
                <w:kern w:val="0"/>
                <w:sz w:val="18"/>
                <w:szCs w:val="18"/>
              </w:rPr>
              <w:t xml:space="preserve"> Nonpayment of CFA Institute Membership dues</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24" type="#_x0000_t75" style="width:20.25pt;height:15.75pt" o:ole="">
                  <v:imagedata r:id="rId9" o:title=""/>
                </v:shape>
                <w:control r:id="rId35" w:name="DefaultOcxName28" w:shapeid="_x0000_i112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C.</w:t>
            </w:r>
            <w:r w:rsidRPr="003554DD">
              <w:rPr>
                <w:rFonts w:ascii="Segoe UI" w:eastAsia="宋体" w:hAnsi="Segoe UI" w:cs="Segoe UI"/>
                <w:color w:val="000000"/>
                <w:kern w:val="0"/>
                <w:sz w:val="18"/>
                <w:szCs w:val="18"/>
              </w:rPr>
              <w:t xml:space="preserve"> Statement about being a CFA </w:t>
            </w:r>
            <w:proofErr w:type="spellStart"/>
            <w:r w:rsidRPr="003554DD">
              <w:rPr>
                <w:rFonts w:ascii="Segoe UI" w:eastAsia="宋体" w:hAnsi="Segoe UI" w:cs="Segoe UI"/>
                <w:color w:val="000000"/>
                <w:kern w:val="0"/>
                <w:sz w:val="18"/>
                <w:szCs w:val="18"/>
              </w:rPr>
              <w:t>charterholder</w:t>
            </w:r>
            <w:proofErr w:type="spellEnd"/>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noWrap/>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0" w:type="auto"/>
            <w:gridSpan w:val="5"/>
            <w:shd w:val="clear" w:color="auto" w:fill="9ACD32"/>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b/>
                <w:bCs/>
                <w:color w:val="000080"/>
                <w:kern w:val="0"/>
                <w:sz w:val="16"/>
                <w:szCs w:val="16"/>
              </w:rPr>
              <w:t>Feedback:</w:t>
            </w:r>
            <w:r w:rsidRPr="003554DD">
              <w:rPr>
                <w:rFonts w:ascii="Segoe UI" w:eastAsia="宋体" w:hAnsi="Segoe UI" w:cs="Segoe UI"/>
                <w:color w:val="333333"/>
                <w:kern w:val="0"/>
                <w:sz w:val="18"/>
                <w:szCs w:val="18"/>
              </w:rPr>
              <w:t xml:space="preserve"> You have answered correctly.</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 xml:space="preserve">Correct answer: </w:t>
            </w:r>
            <w:r w:rsidRPr="003554DD">
              <w:rPr>
                <w:rFonts w:ascii="Segoe UI" w:eastAsia="宋体" w:hAnsi="Segoe UI" w:cs="Segoe UI"/>
                <w:b/>
                <w:bCs/>
                <w:color w:val="333333"/>
                <w:kern w:val="0"/>
                <w:sz w:val="18"/>
                <w:szCs w:val="18"/>
              </w:rPr>
              <w:t>A</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"Code of Ethics and Standards of Professional Conduct," CFA Institute</w:t>
            </w:r>
            <w:r w:rsidRPr="003554DD">
              <w:rPr>
                <w:rFonts w:ascii="Segoe UI" w:eastAsia="宋体" w:hAnsi="Segoe UI" w:cs="Segoe UI"/>
                <w:color w:val="333333"/>
                <w:kern w:val="0"/>
                <w:sz w:val="18"/>
                <w:szCs w:val="18"/>
              </w:rPr>
              <w:br/>
              <w:t>2011 Modular Level I, Vol. 1, p. 137</w:t>
            </w:r>
            <w:r w:rsidRPr="003554DD">
              <w:rPr>
                <w:rFonts w:ascii="Segoe UI" w:eastAsia="宋体" w:hAnsi="Segoe UI" w:cs="Segoe UI"/>
                <w:color w:val="333333"/>
                <w:kern w:val="0"/>
                <w:sz w:val="18"/>
                <w:szCs w:val="18"/>
              </w:rPr>
              <w:br/>
              <w:t>Study Session 1–2–b</w:t>
            </w:r>
            <w:r w:rsidRPr="003554DD">
              <w:rPr>
                <w:rFonts w:ascii="Segoe UI" w:eastAsia="宋体" w:hAnsi="Segoe UI" w:cs="Segoe UI"/>
                <w:color w:val="333333"/>
                <w:kern w:val="0"/>
                <w:sz w:val="18"/>
                <w:szCs w:val="18"/>
              </w:rPr>
              <w:br/>
              <w:t>Distinguish between conduct that conforms to the Code and Standards and conduct that violates the Code and Standards.</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The reference to the superior management abilities ascribed to the CFA Program is improper. An appropriate reference would be to indicate "completion of the CFA Program has enhanced my portfolio management skills." </w:t>
            </w: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xml:space="preserve">  </w:t>
            </w:r>
          </w:p>
        </w:tc>
        <w:tc>
          <w:tcPr>
            <w:tcW w:w="0" w:type="auto"/>
            <w:gridSpan w:val="5"/>
            <w:tcBorders>
              <w:top w:val="single" w:sz="6" w:space="0" w:color="FFCC99"/>
              <w:left w:val="single" w:sz="6" w:space="0" w:color="FFCC99"/>
              <w:bottom w:val="single" w:sz="6" w:space="0" w:color="FFCC99"/>
              <w:right w:val="single" w:sz="6" w:space="0" w:color="FFCC99"/>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b/>
                <w:bCs/>
                <w:color w:val="333333"/>
                <w:kern w:val="0"/>
                <w:sz w:val="18"/>
                <w:szCs w:val="18"/>
              </w:rPr>
              <w:t>说明：</w:t>
            </w:r>
            <w:r w:rsidRPr="003554DD">
              <w:rPr>
                <w:rFonts w:ascii="Segoe UI" w:eastAsia="宋体" w:hAnsi="Segoe UI" w:cs="Segoe UI"/>
                <w:color w:val="333333"/>
                <w:kern w:val="0"/>
                <w:sz w:val="18"/>
                <w:szCs w:val="18"/>
              </w:rPr>
              <w:t xml:space="preserve"> </w:t>
            </w:r>
            <w:r w:rsidRPr="003554DD">
              <w:rPr>
                <w:rFonts w:ascii="Segoe UI" w:eastAsia="宋体" w:hAnsi="Segoe UI" w:cs="Segoe UI"/>
                <w:color w:val="333333"/>
                <w:kern w:val="0"/>
                <w:sz w:val="18"/>
                <w:szCs w:val="18"/>
              </w:rPr>
              <w:t>完成检查您对此考题的结果并准备好继续下一考题时，单击</w:t>
            </w:r>
            <w:r w:rsidRPr="003554DD">
              <w:rPr>
                <w:rFonts w:ascii="Segoe UI" w:eastAsia="宋体" w:hAnsi="Segoe UI" w:cs="Segoe UI"/>
                <w:color w:val="333333"/>
                <w:kern w:val="0"/>
                <w:sz w:val="18"/>
                <w:szCs w:val="18"/>
              </w:rPr>
              <w:t>Continue</w:t>
            </w:r>
            <w:r w:rsidRPr="003554DD">
              <w:rPr>
                <w:rFonts w:ascii="Segoe UI" w:eastAsia="宋体" w:hAnsi="Segoe UI" w:cs="Segoe UI"/>
                <w:color w:val="333333"/>
                <w:kern w:val="0"/>
                <w:sz w:val="18"/>
                <w:szCs w:val="18"/>
              </w:rPr>
              <w:t>（继续）按键。</w:t>
            </w:r>
            <w:r w:rsidRPr="003554DD">
              <w:rPr>
                <w:rFonts w:ascii="Segoe UI" w:eastAsia="宋体" w:hAnsi="Segoe UI" w:cs="Segoe UI"/>
                <w:color w:val="333333"/>
                <w:kern w:val="0"/>
                <w:sz w:val="18"/>
                <w:szCs w:val="18"/>
              </w:rPr>
              <w:t xml:space="preserve"> </w:t>
            </w:r>
          </w:p>
        </w:tc>
      </w:tr>
    </w:tbl>
    <w:p w:rsidR="003554DD" w:rsidRDefault="003554DD">
      <w:pPr>
        <w:rPr>
          <w:rFonts w:hint="eastAsia"/>
        </w:rPr>
      </w:pPr>
    </w:p>
    <w:tbl>
      <w:tblPr>
        <w:tblW w:w="5000" w:type="pct"/>
        <w:tblCellSpacing w:w="15" w:type="dxa"/>
        <w:tblCellMar>
          <w:top w:w="30" w:type="dxa"/>
          <w:left w:w="30" w:type="dxa"/>
          <w:bottom w:w="30" w:type="dxa"/>
          <w:right w:w="30" w:type="dxa"/>
        </w:tblCellMar>
        <w:tblLook w:val="04A0"/>
      </w:tblPr>
      <w:tblGrid>
        <w:gridCol w:w="420"/>
        <w:gridCol w:w="726"/>
        <w:gridCol w:w="7007"/>
        <w:gridCol w:w="96"/>
        <w:gridCol w:w="96"/>
        <w:gridCol w:w="111"/>
      </w:tblGrid>
      <w:tr w:rsidR="003554DD" w:rsidRPr="003554DD" w:rsidTr="003554D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3554DD" w:rsidRPr="003554DD" w:rsidRDefault="003554DD" w:rsidP="003554DD">
            <w:pPr>
              <w:widowControl/>
              <w:jc w:val="left"/>
              <w:rPr>
                <w:rFonts w:ascii="Segoe UI" w:eastAsia="宋体" w:hAnsi="Segoe UI" w:cs="Segoe UI"/>
                <w:b/>
                <w:bCs/>
                <w:color w:val="000000"/>
                <w:kern w:val="0"/>
                <w:sz w:val="18"/>
                <w:szCs w:val="18"/>
              </w:rPr>
            </w:pPr>
            <w:r w:rsidRPr="003554DD">
              <w:rPr>
                <w:rFonts w:ascii="Segoe UI" w:eastAsia="宋体" w:hAnsi="Segoe UI" w:cs="Segoe UI"/>
                <w:b/>
                <w:bCs/>
                <w:color w:val="000000"/>
                <w:kern w:val="0"/>
                <w:sz w:val="18"/>
                <w:szCs w:val="18"/>
              </w:rPr>
              <w:t>10</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An analyst has established the following prior probabilities regarding a company’s next quarter’s earnings per share (EPS) exceeding, equaling, or being below the consensus estimate.</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8"/>
              <w:gridCol w:w="3327"/>
            </w:tblGrid>
            <w:tr w:rsidR="003554DD" w:rsidRPr="003554DD">
              <w:trPr>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2040"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b/>
                      <w:bCs/>
                      <w:color w:val="333333"/>
                      <w:kern w:val="0"/>
                      <w:sz w:val="18"/>
                      <w:szCs w:val="18"/>
                    </w:rPr>
                    <w:t>Prior probabilities</w:t>
                  </w:r>
                </w:p>
              </w:tc>
            </w:tr>
            <w:tr w:rsidR="003554DD" w:rsidRPr="003554DD">
              <w:trPr>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xml:space="preserve">EPS exceed consensus </w:t>
                  </w:r>
                </w:p>
              </w:tc>
              <w:tc>
                <w:tcPr>
                  <w:tcW w:w="2040"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25%</w:t>
                  </w:r>
                </w:p>
              </w:tc>
            </w:tr>
            <w:tr w:rsidR="003554DD" w:rsidRPr="003554DD">
              <w:trPr>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lastRenderedPageBreak/>
                    <w:t>EPS equal consensus</w:t>
                  </w:r>
                </w:p>
              </w:tc>
              <w:tc>
                <w:tcPr>
                  <w:tcW w:w="2040"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55%</w:t>
                  </w:r>
                </w:p>
              </w:tc>
            </w:tr>
            <w:tr w:rsidR="003554DD" w:rsidRPr="003554DD">
              <w:trPr>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EPS are less than consensus</w:t>
                  </w:r>
                </w:p>
              </w:tc>
              <w:tc>
                <w:tcPr>
                  <w:tcW w:w="2040"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20%</w:t>
                  </w:r>
                </w:p>
              </w:tc>
            </w:tr>
          </w:tbl>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br/>
              <w:t>Several days before releasing its earnings statement, the company announces a cut in its dividend. Given this information, the analyst revises his opinion regarding the likelihood that the company will have EPS below the consensus estimate. He estimates the likelihoods the company will cut the dividend given that EPS exceed/meet/fall below consensus as reported below.</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93"/>
              <w:gridCol w:w="5492"/>
            </w:tblGrid>
            <w:tr w:rsidR="003554DD" w:rsidRPr="003554DD">
              <w:trPr>
                <w:tblCellSpacing w:w="15" w:type="dxa"/>
              </w:trPr>
              <w:tc>
                <w:tcPr>
                  <w:tcW w:w="229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532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b/>
                      <w:bCs/>
                      <w:color w:val="333333"/>
                      <w:kern w:val="0"/>
                      <w:sz w:val="18"/>
                      <w:szCs w:val="18"/>
                    </w:rPr>
                    <w:t>Probabilities the company cuts dividends conditional</w:t>
                  </w:r>
                  <w:r w:rsidRPr="003554DD">
                    <w:rPr>
                      <w:rFonts w:ascii="Segoe UI" w:eastAsia="宋体" w:hAnsi="Segoe UI" w:cs="Segoe UI"/>
                      <w:b/>
                      <w:bCs/>
                      <w:color w:val="333333"/>
                      <w:kern w:val="0"/>
                      <w:sz w:val="18"/>
                      <w:szCs w:val="18"/>
                    </w:rPr>
                    <w:br/>
                    <w:t>on EPS exceeding/equaling/falling below consensus</w:t>
                  </w:r>
                </w:p>
              </w:tc>
            </w:tr>
            <w:tr w:rsidR="003554DD" w:rsidRPr="003554DD">
              <w:trPr>
                <w:tblCellSpacing w:w="15" w:type="dxa"/>
              </w:trPr>
              <w:tc>
                <w:tcPr>
                  <w:tcW w:w="229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P(Cut div | EPS exceed)</w:t>
                  </w:r>
                </w:p>
              </w:tc>
              <w:tc>
                <w:tcPr>
                  <w:tcW w:w="532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5%</w:t>
                  </w:r>
                </w:p>
              </w:tc>
            </w:tr>
            <w:tr w:rsidR="003554DD" w:rsidRPr="003554DD">
              <w:trPr>
                <w:tblCellSpacing w:w="15" w:type="dxa"/>
              </w:trPr>
              <w:tc>
                <w:tcPr>
                  <w:tcW w:w="229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P(Cut div | EPS equal)</w:t>
                  </w:r>
                </w:p>
              </w:tc>
              <w:tc>
                <w:tcPr>
                  <w:tcW w:w="532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10%</w:t>
                  </w:r>
                </w:p>
              </w:tc>
            </w:tr>
            <w:tr w:rsidR="003554DD" w:rsidRPr="003554DD">
              <w:trPr>
                <w:tblCellSpacing w:w="15" w:type="dxa"/>
              </w:trPr>
              <w:tc>
                <w:tcPr>
                  <w:tcW w:w="229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P(Cut div | EPS below)</w:t>
                  </w:r>
                </w:p>
              </w:tc>
              <w:tc>
                <w:tcPr>
                  <w:tcW w:w="532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85%</w:t>
                  </w:r>
                </w:p>
              </w:tc>
            </w:tr>
          </w:tbl>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br/>
              <w:t xml:space="preserve">Based on this analysis, the updated (posterior) probability that the company’s EPS are below the consensus is </w:t>
            </w:r>
            <w:r w:rsidRPr="003554DD">
              <w:rPr>
                <w:rFonts w:ascii="Segoe UI" w:eastAsia="宋体" w:hAnsi="Segoe UI" w:cs="Segoe UI"/>
                <w:i/>
                <w:iCs/>
                <w:color w:val="333333"/>
                <w:kern w:val="0"/>
                <w:sz w:val="18"/>
                <w:szCs w:val="18"/>
              </w:rPr>
              <w:t>closest</w:t>
            </w:r>
            <w:r w:rsidRPr="003554DD">
              <w:rPr>
                <w:rFonts w:ascii="Segoe UI" w:eastAsia="宋体" w:hAnsi="Segoe UI" w:cs="Segoe UI"/>
                <w:color w:val="333333"/>
                <w:kern w:val="0"/>
                <w:sz w:val="18"/>
                <w:szCs w:val="18"/>
              </w:rPr>
              <w:t xml:space="preserve"> to:</w:t>
            </w: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35" type="#_x0000_t75" style="width:20.25pt;height:15.75pt" o:ole="">
                  <v:imagedata r:id="rId7" o:title=""/>
                </v:shape>
                <w:control r:id="rId36" w:name="DefaultOcxName20" w:shapeid="_x0000_i113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A.</w:t>
            </w:r>
            <w:r w:rsidRPr="003554DD">
              <w:rPr>
                <w:rFonts w:ascii="Segoe UI" w:eastAsia="宋体" w:hAnsi="Segoe UI" w:cs="Segoe UI"/>
                <w:color w:val="000000"/>
                <w:kern w:val="0"/>
                <w:sz w:val="18"/>
                <w:szCs w:val="18"/>
              </w:rPr>
              <w:t xml:space="preserve"> 72%.</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34" type="#_x0000_t75" style="width:20.25pt;height:15.75pt" o:ole="">
                  <v:imagedata r:id="rId9" o:title=""/>
                </v:shape>
                <w:control r:id="rId37" w:name="DefaultOcxName19" w:shapeid="_x0000_i113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B.</w:t>
            </w:r>
            <w:r w:rsidRPr="003554DD">
              <w:rPr>
                <w:rFonts w:ascii="Segoe UI" w:eastAsia="宋体" w:hAnsi="Segoe UI" w:cs="Segoe UI"/>
                <w:color w:val="000000"/>
                <w:kern w:val="0"/>
                <w:sz w:val="18"/>
                <w:szCs w:val="18"/>
              </w:rPr>
              <w:t xml:space="preserve"> 85%.</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33" type="#_x0000_t75" style="width:20.25pt;height:15.75pt" o:ole="">
                  <v:imagedata r:id="rId9" o:title=""/>
                </v:shape>
                <w:control r:id="rId38" w:name="DefaultOcxName29" w:shapeid="_x0000_i113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C.</w:t>
            </w:r>
            <w:r w:rsidRPr="003554DD">
              <w:rPr>
                <w:rFonts w:ascii="Segoe UI" w:eastAsia="宋体" w:hAnsi="Segoe UI" w:cs="Segoe UI"/>
                <w:color w:val="000000"/>
                <w:kern w:val="0"/>
                <w:sz w:val="18"/>
                <w:szCs w:val="18"/>
              </w:rPr>
              <w:t xml:space="preserve"> 100%.</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noWrap/>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0" w:type="auto"/>
            <w:gridSpan w:val="5"/>
            <w:shd w:val="clear" w:color="auto" w:fill="9ACD32"/>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b/>
                <w:bCs/>
                <w:color w:val="000080"/>
                <w:kern w:val="0"/>
                <w:sz w:val="16"/>
                <w:szCs w:val="16"/>
              </w:rPr>
              <w:t>Feedback:</w:t>
            </w:r>
            <w:r w:rsidRPr="003554DD">
              <w:rPr>
                <w:rFonts w:ascii="Segoe UI" w:eastAsia="宋体" w:hAnsi="Segoe UI" w:cs="Segoe UI"/>
                <w:color w:val="333333"/>
                <w:kern w:val="0"/>
                <w:sz w:val="18"/>
                <w:szCs w:val="18"/>
              </w:rPr>
              <w:t xml:space="preserve"> You have answered correctly.</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 xml:space="preserve">Correct answer: </w:t>
            </w:r>
            <w:r w:rsidRPr="003554DD">
              <w:rPr>
                <w:rFonts w:ascii="Segoe UI" w:eastAsia="宋体" w:hAnsi="Segoe UI" w:cs="Segoe UI"/>
                <w:b/>
                <w:bCs/>
                <w:color w:val="333333"/>
                <w:kern w:val="0"/>
                <w:sz w:val="18"/>
                <w:szCs w:val="18"/>
              </w:rPr>
              <w:t>A</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 xml:space="preserve">"Probability Concepts," Richard A. </w:t>
            </w:r>
            <w:proofErr w:type="spellStart"/>
            <w:r w:rsidRPr="003554DD">
              <w:rPr>
                <w:rFonts w:ascii="Segoe UI" w:eastAsia="宋体" w:hAnsi="Segoe UI" w:cs="Segoe UI"/>
                <w:color w:val="333333"/>
                <w:kern w:val="0"/>
                <w:sz w:val="18"/>
                <w:szCs w:val="18"/>
              </w:rPr>
              <w:t>DeFusco</w:t>
            </w:r>
            <w:proofErr w:type="spellEnd"/>
            <w:r w:rsidRPr="003554DD">
              <w:rPr>
                <w:rFonts w:ascii="Segoe UI" w:eastAsia="宋体" w:hAnsi="Segoe UI" w:cs="Segoe UI"/>
                <w:color w:val="333333"/>
                <w:kern w:val="0"/>
                <w:sz w:val="18"/>
                <w:szCs w:val="18"/>
              </w:rPr>
              <w:t xml:space="preserve">, CFA, Dennis W. </w:t>
            </w:r>
            <w:proofErr w:type="spellStart"/>
            <w:r w:rsidRPr="003554DD">
              <w:rPr>
                <w:rFonts w:ascii="Segoe UI" w:eastAsia="宋体" w:hAnsi="Segoe UI" w:cs="Segoe UI"/>
                <w:color w:val="333333"/>
                <w:kern w:val="0"/>
                <w:sz w:val="18"/>
                <w:szCs w:val="18"/>
              </w:rPr>
              <w:t>McLeavey</w:t>
            </w:r>
            <w:proofErr w:type="spellEnd"/>
            <w:r w:rsidRPr="003554DD">
              <w:rPr>
                <w:rFonts w:ascii="Segoe UI" w:eastAsia="宋体" w:hAnsi="Segoe UI" w:cs="Segoe UI"/>
                <w:color w:val="333333"/>
                <w:kern w:val="0"/>
                <w:sz w:val="18"/>
                <w:szCs w:val="18"/>
              </w:rPr>
              <w:t xml:space="preserve">, CFA, Jerald E. Pinto, CFA, and David E. </w:t>
            </w:r>
            <w:proofErr w:type="spellStart"/>
            <w:r w:rsidRPr="003554DD">
              <w:rPr>
                <w:rFonts w:ascii="Segoe UI" w:eastAsia="宋体" w:hAnsi="Segoe UI" w:cs="Segoe UI"/>
                <w:color w:val="333333"/>
                <w:kern w:val="0"/>
                <w:sz w:val="18"/>
                <w:szCs w:val="18"/>
              </w:rPr>
              <w:t>Runkle</w:t>
            </w:r>
            <w:proofErr w:type="spellEnd"/>
            <w:r w:rsidRPr="003554DD">
              <w:rPr>
                <w:rFonts w:ascii="Segoe UI" w:eastAsia="宋体" w:hAnsi="Segoe UI" w:cs="Segoe UI"/>
                <w:color w:val="333333"/>
                <w:kern w:val="0"/>
                <w:sz w:val="18"/>
                <w:szCs w:val="18"/>
              </w:rPr>
              <w:t>, CFA</w:t>
            </w:r>
            <w:r w:rsidRPr="003554DD">
              <w:rPr>
                <w:rFonts w:ascii="Segoe UI" w:eastAsia="宋体" w:hAnsi="Segoe UI" w:cs="Segoe UI"/>
                <w:color w:val="333333"/>
                <w:kern w:val="0"/>
                <w:sz w:val="18"/>
                <w:szCs w:val="18"/>
              </w:rPr>
              <w:br/>
              <w:t>2011 Modular Level I, Vol. 1, pp. 467–471</w:t>
            </w:r>
            <w:r w:rsidRPr="003554DD">
              <w:rPr>
                <w:rFonts w:ascii="Segoe UI" w:eastAsia="宋体" w:hAnsi="Segoe UI" w:cs="Segoe UI"/>
                <w:color w:val="333333"/>
                <w:kern w:val="0"/>
                <w:sz w:val="18"/>
                <w:szCs w:val="18"/>
              </w:rPr>
              <w:br/>
              <w:t>Study Session 2–8–n</w:t>
            </w:r>
            <w:r w:rsidRPr="003554DD">
              <w:rPr>
                <w:rFonts w:ascii="Segoe UI" w:eastAsia="宋体" w:hAnsi="Segoe UI" w:cs="Segoe UI"/>
                <w:color w:val="333333"/>
                <w:kern w:val="0"/>
                <w:sz w:val="18"/>
                <w:szCs w:val="18"/>
              </w:rPr>
              <w:br/>
              <w:t xml:space="preserve">Calculate and interpret an updated probability using </w:t>
            </w:r>
            <w:proofErr w:type="spellStart"/>
            <w:r w:rsidRPr="003554DD">
              <w:rPr>
                <w:rFonts w:ascii="Segoe UI" w:eastAsia="宋体" w:hAnsi="Segoe UI" w:cs="Segoe UI"/>
                <w:color w:val="333333"/>
                <w:kern w:val="0"/>
                <w:sz w:val="18"/>
                <w:szCs w:val="18"/>
              </w:rPr>
              <w:t>Bayes</w:t>
            </w:r>
            <w:proofErr w:type="spellEnd"/>
            <w:r w:rsidRPr="003554DD">
              <w:rPr>
                <w:rFonts w:ascii="Segoe UI" w:eastAsia="宋体" w:hAnsi="Segoe UI" w:cs="Segoe UI"/>
                <w:color w:val="333333"/>
                <w:kern w:val="0"/>
                <w:sz w:val="18"/>
                <w:szCs w:val="18"/>
              </w:rPr>
              <w:t>' formula.</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First, calculate the unconditional probability for a cut in dividends:</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09"/>
              <w:gridCol w:w="5006"/>
            </w:tblGrid>
            <w:tr w:rsidR="003554DD" w:rsidRPr="003554DD">
              <w:trPr>
                <w:tblCellSpacing w:w="15" w:type="dxa"/>
              </w:trPr>
              <w:tc>
                <w:tcPr>
                  <w:tcW w:w="304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righ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P(Cut div) =</w:t>
                  </w:r>
                </w:p>
              </w:tc>
              <w:tc>
                <w:tcPr>
                  <w:tcW w:w="529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P(Cut div | EPS exceed) × P(EPS exceed) +</w:t>
                  </w:r>
                </w:p>
              </w:tc>
            </w:tr>
            <w:tr w:rsidR="003554DD" w:rsidRPr="003554DD">
              <w:trPr>
                <w:tblCellSpacing w:w="15" w:type="dxa"/>
              </w:trPr>
              <w:tc>
                <w:tcPr>
                  <w:tcW w:w="304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righ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529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P(Cut div | EPS equal) × P(EPS equal) +</w:t>
                  </w:r>
                </w:p>
              </w:tc>
            </w:tr>
            <w:tr w:rsidR="003554DD" w:rsidRPr="003554DD">
              <w:trPr>
                <w:tblCellSpacing w:w="15" w:type="dxa"/>
              </w:trPr>
              <w:tc>
                <w:tcPr>
                  <w:tcW w:w="304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righ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529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xml:space="preserve">P(Cut div | EPS below) × P(EPS below) </w:t>
                  </w:r>
                </w:p>
              </w:tc>
            </w:tr>
            <w:tr w:rsidR="003554DD" w:rsidRPr="003554DD">
              <w:trPr>
                <w:tblCellSpacing w:w="15" w:type="dxa"/>
              </w:trPr>
              <w:tc>
                <w:tcPr>
                  <w:tcW w:w="304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righ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lastRenderedPageBreak/>
                    <w:t>=</w:t>
                  </w:r>
                </w:p>
              </w:tc>
              <w:tc>
                <w:tcPr>
                  <w:tcW w:w="529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(0.05 × 0.25) + (0.10 × 0.55) + (0.85 × 0.20) = 0.2375</w:t>
                  </w:r>
                </w:p>
              </w:tc>
            </w:tr>
            <w:tr w:rsidR="003554DD" w:rsidRPr="003554DD">
              <w:trPr>
                <w:tblCellSpacing w:w="15" w:type="dxa"/>
              </w:trPr>
              <w:tc>
                <w:tcPr>
                  <w:tcW w:w="8340" w:type="dxa"/>
                  <w:gridSpan w:val="2"/>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Then update the probability of EPS falling below the consensus as:</w:t>
                  </w:r>
                </w:p>
              </w:tc>
            </w:tr>
            <w:tr w:rsidR="003554DD" w:rsidRPr="003554DD">
              <w:trPr>
                <w:tblCellSpacing w:w="15" w:type="dxa"/>
              </w:trPr>
              <w:tc>
                <w:tcPr>
                  <w:tcW w:w="304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righ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P(EPS below | Cut div) =</w:t>
                  </w:r>
                </w:p>
              </w:tc>
              <w:tc>
                <w:tcPr>
                  <w:tcW w:w="529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[P(Cut div | EPS below) / P(Cut div)] × P(EPS below)</w:t>
                  </w:r>
                </w:p>
              </w:tc>
            </w:tr>
            <w:tr w:rsidR="003554DD" w:rsidRPr="003554DD">
              <w:trPr>
                <w:tblCellSpacing w:w="15" w:type="dxa"/>
              </w:trPr>
              <w:tc>
                <w:tcPr>
                  <w:tcW w:w="304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righ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w:t>
                  </w:r>
                </w:p>
              </w:tc>
              <w:tc>
                <w:tcPr>
                  <w:tcW w:w="5295" w:type="dxa"/>
                  <w:tcBorders>
                    <w:top w:val="outset" w:sz="6" w:space="0" w:color="auto"/>
                    <w:left w:val="outset" w:sz="6" w:space="0" w:color="auto"/>
                    <w:bottom w:val="outset" w:sz="6" w:space="0" w:color="auto"/>
                    <w:right w:val="outset" w:sz="6" w:space="0" w:color="auto"/>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(0.85 / 0.2375) × 0.20 = 0.71579 = 72%</w:t>
                  </w:r>
                </w:p>
              </w:tc>
            </w:tr>
          </w:tbl>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r>
    </w:tbl>
    <w:p w:rsidR="003554DD" w:rsidRDefault="003554DD">
      <w:pPr>
        <w:rPr>
          <w:rFonts w:hint="eastAsia"/>
        </w:rPr>
      </w:pPr>
    </w:p>
    <w:tbl>
      <w:tblPr>
        <w:tblW w:w="5000" w:type="pct"/>
        <w:tblCellSpacing w:w="15" w:type="dxa"/>
        <w:tblCellMar>
          <w:top w:w="30" w:type="dxa"/>
          <w:left w:w="30" w:type="dxa"/>
          <w:bottom w:w="30" w:type="dxa"/>
          <w:right w:w="30" w:type="dxa"/>
        </w:tblCellMar>
        <w:tblLook w:val="04A0"/>
      </w:tblPr>
      <w:tblGrid>
        <w:gridCol w:w="420"/>
        <w:gridCol w:w="723"/>
        <w:gridCol w:w="7010"/>
        <w:gridCol w:w="96"/>
        <w:gridCol w:w="96"/>
        <w:gridCol w:w="111"/>
      </w:tblGrid>
      <w:tr w:rsidR="003554DD" w:rsidRPr="003554DD" w:rsidTr="003554D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3554DD" w:rsidRPr="003554DD" w:rsidRDefault="003554DD" w:rsidP="003554DD">
            <w:pPr>
              <w:widowControl/>
              <w:jc w:val="left"/>
              <w:rPr>
                <w:rFonts w:ascii="Segoe UI" w:eastAsia="宋体" w:hAnsi="Segoe UI" w:cs="Segoe UI"/>
                <w:b/>
                <w:bCs/>
                <w:color w:val="000000"/>
                <w:kern w:val="0"/>
                <w:sz w:val="18"/>
                <w:szCs w:val="18"/>
              </w:rPr>
            </w:pPr>
            <w:r w:rsidRPr="003554DD">
              <w:rPr>
                <w:rFonts w:ascii="Segoe UI" w:eastAsia="宋体" w:hAnsi="Segoe UI" w:cs="Segoe UI"/>
                <w:b/>
                <w:bCs/>
                <w:color w:val="000000"/>
                <w:kern w:val="0"/>
                <w:sz w:val="18"/>
                <w:szCs w:val="18"/>
              </w:rPr>
              <w:t>11</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xml:space="preserve">If the distribution of the population from which the samples are drawn is positively skewed, the sampling distribution of the sample means for samples drawn from that population is </w:t>
            </w:r>
            <w:r w:rsidRPr="003554DD">
              <w:rPr>
                <w:rFonts w:ascii="Segoe UI" w:eastAsia="宋体" w:hAnsi="Segoe UI" w:cs="Segoe UI"/>
                <w:i/>
                <w:iCs/>
                <w:color w:val="333333"/>
                <w:kern w:val="0"/>
                <w:sz w:val="18"/>
                <w:szCs w:val="18"/>
              </w:rPr>
              <w:t>most likely</w:t>
            </w:r>
            <w:r w:rsidRPr="003554DD">
              <w:rPr>
                <w:rFonts w:ascii="Segoe UI" w:eastAsia="宋体" w:hAnsi="Segoe UI" w:cs="Segoe UI"/>
                <w:color w:val="333333"/>
                <w:kern w:val="0"/>
                <w:sz w:val="18"/>
                <w:szCs w:val="18"/>
              </w:rPr>
              <w:t>:</w:t>
            </w: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44" type="#_x0000_t75" style="width:20.25pt;height:15.75pt" o:ole="">
                  <v:imagedata r:id="rId7" o:title=""/>
                </v:shape>
                <w:control r:id="rId39" w:name="DefaultOcxName30" w:shapeid="_x0000_i114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A.</w:t>
            </w:r>
            <w:r w:rsidRPr="003554DD">
              <w:rPr>
                <w:rFonts w:ascii="Segoe UI" w:eastAsia="宋体" w:hAnsi="Segoe UI" w:cs="Segoe UI"/>
                <w:color w:val="000000"/>
                <w:kern w:val="0"/>
                <w:sz w:val="18"/>
                <w:szCs w:val="18"/>
              </w:rPr>
              <w:t xml:space="preserve"> approximately normally distributed.</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43" type="#_x0000_t75" style="width:20.25pt;height:15.75pt" o:ole="">
                  <v:imagedata r:id="rId9" o:title=""/>
                </v:shape>
                <w:control r:id="rId40" w:name="DefaultOcxName110" w:shapeid="_x0000_i114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B.</w:t>
            </w:r>
            <w:r w:rsidRPr="003554DD">
              <w:rPr>
                <w:rFonts w:ascii="Segoe UI" w:eastAsia="宋体" w:hAnsi="Segoe UI" w:cs="Segoe UI"/>
                <w:color w:val="000000"/>
                <w:kern w:val="0"/>
                <w:sz w:val="18"/>
                <w:szCs w:val="18"/>
              </w:rPr>
              <w:t xml:space="preserve"> to have a variance equal to the entire population.</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554DD" w:rsidRPr="003554DD" w:rsidRDefault="003554DD" w:rsidP="003554DD">
            <w:pPr>
              <w:widowControl/>
              <w:jc w:val="center"/>
              <w:rPr>
                <w:rFonts w:ascii="Segoe UI" w:eastAsia="宋体" w:hAnsi="Segoe UI" w:cs="Segoe UI"/>
                <w:color w:val="000000"/>
                <w:kern w:val="0"/>
                <w:sz w:val="18"/>
                <w:szCs w:val="18"/>
              </w:rPr>
            </w:pPr>
            <w:r w:rsidRPr="003554DD">
              <w:rPr>
                <w:rFonts w:ascii="Segoe UI" w:eastAsia="宋体" w:hAnsi="Segoe UI" w:cs="Segoe UI"/>
                <w:color w:val="000000"/>
                <w:kern w:val="0"/>
                <w:sz w:val="18"/>
                <w:szCs w:val="18"/>
              </w:rPr>
              <w:object w:dxaOrig="1440" w:dyaOrig="1440">
                <v:shape id="_x0000_i1142" type="#_x0000_t75" style="width:20.25pt;height:15.75pt" o:ole="">
                  <v:imagedata r:id="rId9" o:title=""/>
                </v:shape>
                <w:control r:id="rId41" w:name="DefaultOcxName210" w:shapeid="_x0000_i114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554DD" w:rsidRPr="003554DD" w:rsidRDefault="003554DD" w:rsidP="003554DD">
            <w:pPr>
              <w:widowControl/>
              <w:jc w:val="left"/>
              <w:rPr>
                <w:rFonts w:ascii="Segoe UI" w:eastAsia="宋体" w:hAnsi="Segoe UI" w:cs="Segoe UI"/>
                <w:color w:val="000000"/>
                <w:kern w:val="0"/>
                <w:sz w:val="18"/>
                <w:szCs w:val="18"/>
              </w:rPr>
            </w:pPr>
            <w:r w:rsidRPr="003554DD">
              <w:rPr>
                <w:rFonts w:ascii="Segoe UI" w:eastAsia="宋体" w:hAnsi="Segoe UI" w:cs="Segoe UI"/>
                <w:b/>
                <w:bCs/>
                <w:color w:val="000000"/>
                <w:kern w:val="0"/>
                <w:sz w:val="18"/>
                <w:szCs w:val="18"/>
              </w:rPr>
              <w:t>C.</w:t>
            </w:r>
            <w:r w:rsidRPr="003554DD">
              <w:rPr>
                <w:rFonts w:ascii="Segoe UI" w:eastAsia="宋体" w:hAnsi="Segoe UI" w:cs="Segoe UI"/>
                <w:color w:val="000000"/>
                <w:kern w:val="0"/>
                <w:sz w:val="18"/>
                <w:szCs w:val="18"/>
              </w:rPr>
              <w:t xml:space="preserve"> to have a mean smaller than the mean of the entire population.</w:t>
            </w: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c>
          <w:tcPr>
            <w:tcW w:w="0" w:type="auto"/>
            <w:vAlign w:val="center"/>
            <w:hideMark/>
          </w:tcPr>
          <w:p w:rsidR="003554DD" w:rsidRPr="003554DD" w:rsidRDefault="003554DD" w:rsidP="003554DD">
            <w:pPr>
              <w:widowControl/>
              <w:jc w:val="left"/>
              <w:rPr>
                <w:rFonts w:ascii="Times New Roman" w:eastAsia="Times New Roman" w:hAnsi="Times New Roman" w:cs="Times New Roman"/>
                <w:kern w:val="0"/>
                <w:sz w:val="20"/>
                <w:szCs w:val="20"/>
              </w:rPr>
            </w:pPr>
          </w:p>
        </w:tc>
      </w:tr>
      <w:tr w:rsidR="003554DD" w:rsidRPr="003554DD" w:rsidTr="003554DD">
        <w:trPr>
          <w:trHeight w:val="525"/>
          <w:tblCellSpacing w:w="15" w:type="dxa"/>
        </w:trPr>
        <w:tc>
          <w:tcPr>
            <w:tcW w:w="375" w:type="dxa"/>
            <w:noWrap/>
            <w:vAlign w:val="center"/>
            <w:hideMark/>
          </w:tcPr>
          <w:p w:rsidR="003554DD" w:rsidRPr="003554DD" w:rsidRDefault="003554DD" w:rsidP="003554DD">
            <w:pPr>
              <w:widowControl/>
              <w:jc w:val="center"/>
              <w:rPr>
                <w:rFonts w:ascii="Segoe UI" w:eastAsia="宋体" w:hAnsi="Segoe UI" w:cs="Segoe UI"/>
                <w:color w:val="333333"/>
                <w:kern w:val="0"/>
                <w:sz w:val="18"/>
                <w:szCs w:val="18"/>
              </w:rPr>
            </w:pPr>
            <w:r w:rsidRPr="003554DD">
              <w:rPr>
                <w:rFonts w:ascii="Segoe UI" w:eastAsia="宋体" w:hAnsi="Segoe UI" w:cs="Segoe UI"/>
                <w:color w:val="333333"/>
                <w:kern w:val="0"/>
                <w:sz w:val="18"/>
                <w:szCs w:val="18"/>
              </w:rPr>
              <w:t> </w:t>
            </w:r>
          </w:p>
        </w:tc>
        <w:tc>
          <w:tcPr>
            <w:tcW w:w="0" w:type="auto"/>
            <w:gridSpan w:val="5"/>
            <w:shd w:val="clear" w:color="auto" w:fill="9ACD32"/>
            <w:vAlign w:val="center"/>
            <w:hideMark/>
          </w:tcPr>
          <w:p w:rsidR="003554DD" w:rsidRPr="003554DD" w:rsidRDefault="003554DD" w:rsidP="003554DD">
            <w:pPr>
              <w:widowControl/>
              <w:jc w:val="left"/>
              <w:rPr>
                <w:rFonts w:ascii="Segoe UI" w:eastAsia="宋体" w:hAnsi="Segoe UI" w:cs="Segoe UI"/>
                <w:color w:val="333333"/>
                <w:kern w:val="0"/>
                <w:sz w:val="18"/>
                <w:szCs w:val="18"/>
              </w:rPr>
            </w:pPr>
            <w:r w:rsidRPr="003554DD">
              <w:rPr>
                <w:rFonts w:ascii="Segoe UI" w:eastAsia="宋体" w:hAnsi="Segoe UI" w:cs="Segoe UI"/>
                <w:b/>
                <w:bCs/>
                <w:color w:val="000080"/>
                <w:kern w:val="0"/>
                <w:sz w:val="16"/>
                <w:szCs w:val="16"/>
              </w:rPr>
              <w:t>Feedback:</w:t>
            </w:r>
            <w:r w:rsidRPr="003554DD">
              <w:rPr>
                <w:rFonts w:ascii="Segoe UI" w:eastAsia="宋体" w:hAnsi="Segoe UI" w:cs="Segoe UI"/>
                <w:color w:val="333333"/>
                <w:kern w:val="0"/>
                <w:sz w:val="18"/>
                <w:szCs w:val="18"/>
              </w:rPr>
              <w:t xml:space="preserve"> You have answered correctly.</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 xml:space="preserve">Correct answer: </w:t>
            </w:r>
            <w:r w:rsidRPr="003554DD">
              <w:rPr>
                <w:rFonts w:ascii="Segoe UI" w:eastAsia="宋体" w:hAnsi="Segoe UI" w:cs="Segoe UI"/>
                <w:b/>
                <w:bCs/>
                <w:color w:val="333333"/>
                <w:kern w:val="0"/>
                <w:sz w:val="18"/>
                <w:szCs w:val="18"/>
              </w:rPr>
              <w:t>A</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 xml:space="preserve">"Sampling and Estimation," Richard A. </w:t>
            </w:r>
            <w:proofErr w:type="spellStart"/>
            <w:r w:rsidRPr="003554DD">
              <w:rPr>
                <w:rFonts w:ascii="Segoe UI" w:eastAsia="宋体" w:hAnsi="Segoe UI" w:cs="Segoe UI"/>
                <w:color w:val="333333"/>
                <w:kern w:val="0"/>
                <w:sz w:val="18"/>
                <w:szCs w:val="18"/>
              </w:rPr>
              <w:t>DeFusco</w:t>
            </w:r>
            <w:proofErr w:type="spellEnd"/>
            <w:r w:rsidRPr="003554DD">
              <w:rPr>
                <w:rFonts w:ascii="Segoe UI" w:eastAsia="宋体" w:hAnsi="Segoe UI" w:cs="Segoe UI"/>
                <w:color w:val="333333"/>
                <w:kern w:val="0"/>
                <w:sz w:val="18"/>
                <w:szCs w:val="18"/>
              </w:rPr>
              <w:t xml:space="preserve">, CFA, Dennis W. </w:t>
            </w:r>
            <w:proofErr w:type="spellStart"/>
            <w:r w:rsidRPr="003554DD">
              <w:rPr>
                <w:rFonts w:ascii="Segoe UI" w:eastAsia="宋体" w:hAnsi="Segoe UI" w:cs="Segoe UI"/>
                <w:color w:val="333333"/>
                <w:kern w:val="0"/>
                <w:sz w:val="18"/>
                <w:szCs w:val="18"/>
              </w:rPr>
              <w:t>McLeavey</w:t>
            </w:r>
            <w:proofErr w:type="spellEnd"/>
            <w:r w:rsidRPr="003554DD">
              <w:rPr>
                <w:rFonts w:ascii="Segoe UI" w:eastAsia="宋体" w:hAnsi="Segoe UI" w:cs="Segoe UI"/>
                <w:color w:val="333333"/>
                <w:kern w:val="0"/>
                <w:sz w:val="18"/>
                <w:szCs w:val="18"/>
              </w:rPr>
              <w:t xml:space="preserve">, CFA, Jerald E. Pinto, CFA, and David E. </w:t>
            </w:r>
            <w:proofErr w:type="spellStart"/>
            <w:r w:rsidRPr="003554DD">
              <w:rPr>
                <w:rFonts w:ascii="Segoe UI" w:eastAsia="宋体" w:hAnsi="Segoe UI" w:cs="Segoe UI"/>
                <w:color w:val="333333"/>
                <w:kern w:val="0"/>
                <w:sz w:val="18"/>
                <w:szCs w:val="18"/>
              </w:rPr>
              <w:t>Runkle</w:t>
            </w:r>
            <w:proofErr w:type="spellEnd"/>
            <w:r w:rsidRPr="003554DD">
              <w:rPr>
                <w:rFonts w:ascii="Segoe UI" w:eastAsia="宋体" w:hAnsi="Segoe UI" w:cs="Segoe UI"/>
                <w:color w:val="333333"/>
                <w:kern w:val="0"/>
                <w:sz w:val="18"/>
                <w:szCs w:val="18"/>
              </w:rPr>
              <w:t>, CFA</w:t>
            </w:r>
            <w:r w:rsidRPr="003554DD">
              <w:rPr>
                <w:rFonts w:ascii="Segoe UI" w:eastAsia="宋体" w:hAnsi="Segoe UI" w:cs="Segoe UI"/>
                <w:color w:val="333333"/>
                <w:kern w:val="0"/>
                <w:sz w:val="18"/>
                <w:szCs w:val="18"/>
              </w:rPr>
              <w:br/>
              <w:t>2011 Modular Level I, Vol. 1, pp. 556–559</w:t>
            </w:r>
            <w:r w:rsidRPr="003554DD">
              <w:rPr>
                <w:rFonts w:ascii="Segoe UI" w:eastAsia="宋体" w:hAnsi="Segoe UI" w:cs="Segoe UI"/>
                <w:color w:val="333333"/>
                <w:kern w:val="0"/>
                <w:sz w:val="18"/>
                <w:szCs w:val="18"/>
              </w:rPr>
              <w:br/>
              <w:t>Study Session 3–10–d</w:t>
            </w:r>
            <w:r w:rsidRPr="003554DD">
              <w:rPr>
                <w:rFonts w:ascii="Segoe UI" w:eastAsia="宋体" w:hAnsi="Segoe UI" w:cs="Segoe UI"/>
                <w:color w:val="333333"/>
                <w:kern w:val="0"/>
                <w:sz w:val="18"/>
                <w:szCs w:val="18"/>
              </w:rPr>
              <w:br/>
              <w:t>Interpret the central limit theorem and describe its importance.</w:t>
            </w:r>
            <w:r w:rsidRPr="003554DD">
              <w:rPr>
                <w:rFonts w:ascii="Segoe UI" w:eastAsia="宋体" w:hAnsi="Segoe UI" w:cs="Segoe UI"/>
                <w:color w:val="333333"/>
                <w:kern w:val="0"/>
                <w:sz w:val="18"/>
                <w:szCs w:val="18"/>
              </w:rPr>
              <w:br/>
            </w:r>
            <w:r w:rsidRPr="003554DD">
              <w:rPr>
                <w:rFonts w:ascii="Segoe UI" w:eastAsia="宋体" w:hAnsi="Segoe UI" w:cs="Segoe UI"/>
                <w:color w:val="333333"/>
                <w:kern w:val="0"/>
                <w:sz w:val="18"/>
                <w:szCs w:val="18"/>
              </w:rPr>
              <w:br/>
              <w:t>The central limit theorem establishes that the sampling distribution of sample means will be approximately normal, will have a mean equal to the population mean, and will have a variance equal to the population variance divided by the sample size. </w:t>
            </w:r>
          </w:p>
        </w:tc>
      </w:tr>
    </w:tbl>
    <w:p w:rsidR="003554DD" w:rsidRDefault="003554DD">
      <w:pPr>
        <w:rPr>
          <w:rFonts w:hint="eastAsia"/>
        </w:rPr>
      </w:pPr>
    </w:p>
    <w:tbl>
      <w:tblPr>
        <w:tblW w:w="5000" w:type="pct"/>
        <w:tblCellSpacing w:w="15" w:type="dxa"/>
        <w:tblCellMar>
          <w:top w:w="30" w:type="dxa"/>
          <w:left w:w="30" w:type="dxa"/>
          <w:bottom w:w="30" w:type="dxa"/>
          <w:right w:w="30" w:type="dxa"/>
        </w:tblCellMar>
        <w:tblLook w:val="04A0"/>
      </w:tblPr>
      <w:tblGrid>
        <w:gridCol w:w="420"/>
        <w:gridCol w:w="679"/>
        <w:gridCol w:w="7054"/>
        <w:gridCol w:w="96"/>
        <w:gridCol w:w="96"/>
        <w:gridCol w:w="111"/>
      </w:tblGrid>
      <w:tr w:rsidR="008645A1" w:rsidRPr="008645A1" w:rsidTr="008645A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8645A1" w:rsidRPr="008645A1" w:rsidRDefault="008645A1" w:rsidP="008645A1">
            <w:pPr>
              <w:widowControl/>
              <w:jc w:val="left"/>
              <w:rPr>
                <w:rFonts w:ascii="Segoe UI" w:eastAsia="宋体" w:hAnsi="Segoe UI" w:cs="Segoe UI"/>
                <w:b/>
                <w:bCs/>
                <w:color w:val="000000"/>
                <w:kern w:val="0"/>
                <w:sz w:val="18"/>
                <w:szCs w:val="18"/>
              </w:rPr>
            </w:pPr>
            <w:r w:rsidRPr="008645A1">
              <w:rPr>
                <w:rFonts w:ascii="Segoe UI" w:eastAsia="宋体" w:hAnsi="Segoe UI" w:cs="Segoe UI"/>
                <w:b/>
                <w:bCs/>
                <w:color w:val="000000"/>
                <w:kern w:val="0"/>
                <w:sz w:val="18"/>
                <w:szCs w:val="18"/>
              </w:rPr>
              <w:t>12</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A project offers the following incremental after-tax cash flows:</w:t>
            </w:r>
            <w:r w:rsidRPr="008645A1">
              <w:rPr>
                <w:rFonts w:ascii="Segoe UI" w:eastAsia="宋体" w:hAnsi="Segoe UI" w:cs="Segoe UI"/>
                <w:color w:val="333333"/>
                <w:kern w:val="0"/>
                <w:sz w:val="18"/>
                <w:szCs w:val="18"/>
              </w:rPr>
              <w:br/>
            </w:r>
            <w:r w:rsidRPr="008645A1">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0"/>
              <w:gridCol w:w="1306"/>
              <w:gridCol w:w="1204"/>
              <w:gridCol w:w="1153"/>
              <w:gridCol w:w="1289"/>
              <w:gridCol w:w="1253"/>
            </w:tblGrid>
            <w:tr w:rsidR="008645A1" w:rsidRPr="008645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b/>
                      <w:bCs/>
                      <w:color w:val="333333"/>
                      <w:kern w:val="0"/>
                      <w:sz w:val="18"/>
                      <w:szCs w:val="18"/>
                    </w:rPr>
                    <w:t>Year</w:t>
                  </w:r>
                </w:p>
              </w:tc>
              <w:tc>
                <w:tcPr>
                  <w:tcW w:w="1125" w:type="dxa"/>
                  <w:tcBorders>
                    <w:top w:val="outset" w:sz="6" w:space="0" w:color="auto"/>
                    <w:left w:val="outset" w:sz="6" w:space="0" w:color="auto"/>
                    <w:bottom w:val="outset" w:sz="6" w:space="0" w:color="auto"/>
                    <w:right w:val="outset" w:sz="6" w:space="0" w:color="auto"/>
                  </w:tcBorders>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b/>
                      <w:bCs/>
                      <w:color w:val="333333"/>
                      <w:kern w:val="0"/>
                      <w:sz w:val="18"/>
                      <w:szCs w:val="18"/>
                    </w:rPr>
                    <w:t>0</w:t>
                  </w:r>
                </w:p>
              </w:tc>
              <w:tc>
                <w:tcPr>
                  <w:tcW w:w="1035" w:type="dxa"/>
                  <w:tcBorders>
                    <w:top w:val="outset" w:sz="6" w:space="0" w:color="auto"/>
                    <w:left w:val="outset" w:sz="6" w:space="0" w:color="auto"/>
                    <w:bottom w:val="outset" w:sz="6" w:space="0" w:color="auto"/>
                    <w:right w:val="outset" w:sz="6" w:space="0" w:color="auto"/>
                  </w:tcBorders>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b/>
                      <w:bCs/>
                      <w:color w:val="333333"/>
                      <w:kern w:val="0"/>
                      <w:sz w:val="18"/>
                      <w:szCs w:val="18"/>
                    </w:rPr>
                    <w:t>1</w:t>
                  </w:r>
                </w:p>
              </w:tc>
              <w:tc>
                <w:tcPr>
                  <w:tcW w:w="990" w:type="dxa"/>
                  <w:tcBorders>
                    <w:top w:val="outset" w:sz="6" w:space="0" w:color="auto"/>
                    <w:left w:val="outset" w:sz="6" w:space="0" w:color="auto"/>
                    <w:bottom w:val="outset" w:sz="6" w:space="0" w:color="auto"/>
                    <w:right w:val="outset" w:sz="6" w:space="0" w:color="auto"/>
                  </w:tcBorders>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b/>
                      <w:bCs/>
                      <w:color w:val="333333"/>
                      <w:kern w:val="0"/>
                      <w:sz w:val="18"/>
                      <w:szCs w:val="18"/>
                    </w:rPr>
                    <w:t>2</w:t>
                  </w:r>
                </w:p>
              </w:tc>
              <w:tc>
                <w:tcPr>
                  <w:tcW w:w="1110" w:type="dxa"/>
                  <w:tcBorders>
                    <w:top w:val="outset" w:sz="6" w:space="0" w:color="auto"/>
                    <w:left w:val="outset" w:sz="6" w:space="0" w:color="auto"/>
                    <w:bottom w:val="outset" w:sz="6" w:space="0" w:color="auto"/>
                    <w:right w:val="outset" w:sz="6" w:space="0" w:color="auto"/>
                  </w:tcBorders>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b/>
                      <w:bCs/>
                      <w:color w:val="333333"/>
                      <w:kern w:val="0"/>
                      <w:sz w:val="18"/>
                      <w:szCs w:val="18"/>
                    </w:rPr>
                    <w:t>3</w:t>
                  </w:r>
                </w:p>
              </w:tc>
              <w:tc>
                <w:tcPr>
                  <w:tcW w:w="1065" w:type="dxa"/>
                  <w:tcBorders>
                    <w:top w:val="outset" w:sz="6" w:space="0" w:color="auto"/>
                    <w:left w:val="outset" w:sz="6" w:space="0" w:color="auto"/>
                    <w:bottom w:val="outset" w:sz="6" w:space="0" w:color="auto"/>
                    <w:right w:val="outset" w:sz="6" w:space="0" w:color="auto"/>
                  </w:tcBorders>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b/>
                      <w:bCs/>
                      <w:color w:val="333333"/>
                      <w:kern w:val="0"/>
                      <w:sz w:val="18"/>
                      <w:szCs w:val="18"/>
                    </w:rPr>
                    <w:t>4</w:t>
                  </w:r>
                </w:p>
              </w:tc>
            </w:tr>
            <w:tr w:rsidR="008645A1" w:rsidRPr="008645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b/>
                      <w:bCs/>
                      <w:color w:val="333333"/>
                      <w:kern w:val="0"/>
                      <w:sz w:val="18"/>
                      <w:szCs w:val="18"/>
                    </w:rPr>
                    <w:t>Cash flow (€)</w:t>
                  </w:r>
                </w:p>
              </w:tc>
              <w:tc>
                <w:tcPr>
                  <w:tcW w:w="1125" w:type="dxa"/>
                  <w:tcBorders>
                    <w:top w:val="outset" w:sz="6" w:space="0" w:color="auto"/>
                    <w:left w:val="outset" w:sz="6" w:space="0" w:color="auto"/>
                    <w:bottom w:val="outset" w:sz="6" w:space="0" w:color="auto"/>
                    <w:right w:val="outset" w:sz="6" w:space="0" w:color="auto"/>
                  </w:tcBorders>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–12,500</w:t>
                  </w:r>
                </w:p>
              </w:tc>
              <w:tc>
                <w:tcPr>
                  <w:tcW w:w="1035" w:type="dxa"/>
                  <w:tcBorders>
                    <w:top w:val="outset" w:sz="6" w:space="0" w:color="auto"/>
                    <w:left w:val="outset" w:sz="6" w:space="0" w:color="auto"/>
                    <w:bottom w:val="outset" w:sz="6" w:space="0" w:color="auto"/>
                    <w:right w:val="outset" w:sz="6" w:space="0" w:color="auto"/>
                  </w:tcBorders>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2,000</w:t>
                  </w:r>
                </w:p>
              </w:tc>
              <w:tc>
                <w:tcPr>
                  <w:tcW w:w="990" w:type="dxa"/>
                  <w:tcBorders>
                    <w:top w:val="outset" w:sz="6" w:space="0" w:color="auto"/>
                    <w:left w:val="outset" w:sz="6" w:space="0" w:color="auto"/>
                    <w:bottom w:val="outset" w:sz="6" w:space="0" w:color="auto"/>
                    <w:right w:val="outset" w:sz="6" w:space="0" w:color="auto"/>
                  </w:tcBorders>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4,000</w:t>
                  </w:r>
                </w:p>
              </w:tc>
              <w:tc>
                <w:tcPr>
                  <w:tcW w:w="1110" w:type="dxa"/>
                  <w:tcBorders>
                    <w:top w:val="outset" w:sz="6" w:space="0" w:color="auto"/>
                    <w:left w:val="outset" w:sz="6" w:space="0" w:color="auto"/>
                    <w:bottom w:val="outset" w:sz="6" w:space="0" w:color="auto"/>
                    <w:right w:val="outset" w:sz="6" w:space="0" w:color="auto"/>
                  </w:tcBorders>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5,000</w:t>
                  </w:r>
                </w:p>
              </w:tc>
              <w:tc>
                <w:tcPr>
                  <w:tcW w:w="1065" w:type="dxa"/>
                  <w:tcBorders>
                    <w:top w:val="outset" w:sz="6" w:space="0" w:color="auto"/>
                    <w:left w:val="outset" w:sz="6" w:space="0" w:color="auto"/>
                    <w:bottom w:val="outset" w:sz="6" w:space="0" w:color="auto"/>
                    <w:right w:val="outset" w:sz="6" w:space="0" w:color="auto"/>
                  </w:tcBorders>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2,000</w:t>
                  </w:r>
                </w:p>
              </w:tc>
            </w:tr>
          </w:tbl>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br/>
              <w:t xml:space="preserve">The appropriate discount rate to use in evaluating the project is 8 percent. The NPV (in €) of the project is </w:t>
            </w:r>
            <w:r w:rsidRPr="008645A1">
              <w:rPr>
                <w:rFonts w:ascii="Segoe UI" w:eastAsia="宋体" w:hAnsi="Segoe UI" w:cs="Segoe UI"/>
                <w:i/>
                <w:iCs/>
                <w:color w:val="333333"/>
                <w:kern w:val="0"/>
                <w:sz w:val="18"/>
                <w:szCs w:val="18"/>
              </w:rPr>
              <w:t>closest</w:t>
            </w:r>
            <w:r w:rsidRPr="008645A1">
              <w:rPr>
                <w:rFonts w:ascii="Segoe UI" w:eastAsia="宋体" w:hAnsi="Segoe UI" w:cs="Segoe UI"/>
                <w:color w:val="333333"/>
                <w:kern w:val="0"/>
                <w:sz w:val="18"/>
                <w:szCs w:val="18"/>
              </w:rPr>
              <w:t xml:space="preserve"> to:</w:t>
            </w:r>
          </w:p>
        </w:tc>
      </w:tr>
      <w:tr w:rsidR="008645A1" w:rsidRPr="008645A1" w:rsidTr="008645A1">
        <w:trPr>
          <w:trHeight w:val="525"/>
          <w:tblCellSpacing w:w="15" w:type="dxa"/>
        </w:trPr>
        <w:tc>
          <w:tcPr>
            <w:tcW w:w="375" w:type="dxa"/>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645A1" w:rsidRPr="008645A1" w:rsidRDefault="008645A1" w:rsidP="008645A1">
            <w:pPr>
              <w:widowControl/>
              <w:jc w:val="center"/>
              <w:rPr>
                <w:rFonts w:ascii="Segoe UI" w:eastAsia="宋体" w:hAnsi="Segoe UI" w:cs="Segoe UI"/>
                <w:color w:val="000000"/>
                <w:kern w:val="0"/>
                <w:sz w:val="18"/>
                <w:szCs w:val="18"/>
              </w:rPr>
            </w:pPr>
            <w:r w:rsidRPr="008645A1">
              <w:rPr>
                <w:rFonts w:ascii="Segoe UI" w:eastAsia="宋体" w:hAnsi="Segoe UI" w:cs="Segoe UI"/>
                <w:color w:val="000000"/>
                <w:kern w:val="0"/>
                <w:sz w:val="18"/>
                <w:szCs w:val="18"/>
              </w:rPr>
              <w:object w:dxaOrig="1440" w:dyaOrig="1440">
                <v:shape id="_x0000_i1153" type="#_x0000_t75" style="width:20.25pt;height:15.75pt" o:ole="">
                  <v:imagedata r:id="rId7" o:title=""/>
                </v:shape>
                <w:control r:id="rId42" w:name="DefaultOcxName31" w:shapeid="_x0000_i115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645A1" w:rsidRPr="008645A1" w:rsidRDefault="008645A1" w:rsidP="008645A1">
            <w:pPr>
              <w:widowControl/>
              <w:jc w:val="left"/>
              <w:rPr>
                <w:rFonts w:ascii="Segoe UI" w:eastAsia="宋体" w:hAnsi="Segoe UI" w:cs="Segoe UI"/>
                <w:color w:val="000000"/>
                <w:kern w:val="0"/>
                <w:sz w:val="18"/>
                <w:szCs w:val="18"/>
              </w:rPr>
            </w:pPr>
            <w:r w:rsidRPr="008645A1">
              <w:rPr>
                <w:rFonts w:ascii="Segoe UI" w:eastAsia="宋体" w:hAnsi="Segoe UI" w:cs="Segoe UI"/>
                <w:b/>
                <w:bCs/>
                <w:color w:val="000000"/>
                <w:kern w:val="0"/>
                <w:sz w:val="18"/>
                <w:szCs w:val="18"/>
              </w:rPr>
              <w:t>A.</w:t>
            </w:r>
            <w:r w:rsidRPr="008645A1">
              <w:rPr>
                <w:rFonts w:ascii="Segoe UI" w:eastAsia="宋体" w:hAnsi="Segoe UI" w:cs="Segoe UI"/>
                <w:color w:val="000000"/>
                <w:kern w:val="0"/>
                <w:sz w:val="18"/>
                <w:szCs w:val="18"/>
              </w:rPr>
              <w:t xml:space="preserve"> –1,780.</w:t>
            </w: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r>
      <w:tr w:rsidR="008645A1" w:rsidRPr="008645A1" w:rsidTr="008645A1">
        <w:trPr>
          <w:trHeight w:val="525"/>
          <w:tblCellSpacing w:w="15" w:type="dxa"/>
        </w:trPr>
        <w:tc>
          <w:tcPr>
            <w:tcW w:w="375" w:type="dxa"/>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645A1" w:rsidRPr="008645A1" w:rsidRDefault="008645A1" w:rsidP="008645A1">
            <w:pPr>
              <w:widowControl/>
              <w:jc w:val="center"/>
              <w:rPr>
                <w:rFonts w:ascii="Segoe UI" w:eastAsia="宋体" w:hAnsi="Segoe UI" w:cs="Segoe UI"/>
                <w:color w:val="000000"/>
                <w:kern w:val="0"/>
                <w:sz w:val="18"/>
                <w:szCs w:val="18"/>
              </w:rPr>
            </w:pPr>
            <w:r w:rsidRPr="008645A1">
              <w:rPr>
                <w:rFonts w:ascii="Segoe UI" w:eastAsia="宋体" w:hAnsi="Segoe UI" w:cs="Segoe UI"/>
                <w:color w:val="000000"/>
                <w:kern w:val="0"/>
                <w:sz w:val="18"/>
                <w:szCs w:val="18"/>
              </w:rPr>
              <w:object w:dxaOrig="1440" w:dyaOrig="1440">
                <v:shape id="_x0000_i1152" type="#_x0000_t75" style="width:20.25pt;height:15.75pt" o:ole="">
                  <v:imagedata r:id="rId9" o:title=""/>
                </v:shape>
                <w:control r:id="rId43" w:name="DefaultOcxName111" w:shapeid="_x0000_i115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645A1" w:rsidRPr="008645A1" w:rsidRDefault="008645A1" w:rsidP="008645A1">
            <w:pPr>
              <w:widowControl/>
              <w:jc w:val="left"/>
              <w:rPr>
                <w:rFonts w:ascii="Segoe UI" w:eastAsia="宋体" w:hAnsi="Segoe UI" w:cs="Segoe UI"/>
                <w:color w:val="000000"/>
                <w:kern w:val="0"/>
                <w:sz w:val="18"/>
                <w:szCs w:val="18"/>
              </w:rPr>
            </w:pPr>
            <w:r w:rsidRPr="008645A1">
              <w:rPr>
                <w:rFonts w:ascii="Segoe UI" w:eastAsia="宋体" w:hAnsi="Segoe UI" w:cs="Segoe UI"/>
                <w:b/>
                <w:bCs/>
                <w:color w:val="000000"/>
                <w:kern w:val="0"/>
                <w:sz w:val="18"/>
                <w:szCs w:val="18"/>
              </w:rPr>
              <w:t>B.</w:t>
            </w:r>
            <w:r w:rsidRPr="008645A1">
              <w:rPr>
                <w:rFonts w:ascii="Segoe UI" w:eastAsia="宋体" w:hAnsi="Segoe UI" w:cs="Segoe UI"/>
                <w:color w:val="000000"/>
                <w:kern w:val="0"/>
                <w:sz w:val="18"/>
                <w:szCs w:val="18"/>
              </w:rPr>
              <w:t xml:space="preserve"> –1,736.</w:t>
            </w: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r>
      <w:tr w:rsidR="008645A1" w:rsidRPr="008645A1" w:rsidTr="008645A1">
        <w:trPr>
          <w:trHeight w:val="525"/>
          <w:tblCellSpacing w:w="15" w:type="dxa"/>
        </w:trPr>
        <w:tc>
          <w:tcPr>
            <w:tcW w:w="375" w:type="dxa"/>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645A1" w:rsidRPr="008645A1" w:rsidRDefault="008645A1" w:rsidP="008645A1">
            <w:pPr>
              <w:widowControl/>
              <w:jc w:val="center"/>
              <w:rPr>
                <w:rFonts w:ascii="Segoe UI" w:eastAsia="宋体" w:hAnsi="Segoe UI" w:cs="Segoe UI"/>
                <w:color w:val="000000"/>
                <w:kern w:val="0"/>
                <w:sz w:val="18"/>
                <w:szCs w:val="18"/>
              </w:rPr>
            </w:pPr>
            <w:r w:rsidRPr="008645A1">
              <w:rPr>
                <w:rFonts w:ascii="Segoe UI" w:eastAsia="宋体" w:hAnsi="Segoe UI" w:cs="Segoe UI"/>
                <w:color w:val="000000"/>
                <w:kern w:val="0"/>
                <w:sz w:val="18"/>
                <w:szCs w:val="18"/>
              </w:rPr>
              <w:object w:dxaOrig="1440" w:dyaOrig="1440">
                <v:shape id="_x0000_i1151" type="#_x0000_t75" style="width:20.25pt;height:15.75pt" o:ole="">
                  <v:imagedata r:id="rId9" o:title=""/>
                </v:shape>
                <w:control r:id="rId44" w:name="DefaultOcxName211" w:shapeid="_x0000_i115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645A1" w:rsidRPr="008645A1" w:rsidRDefault="008645A1" w:rsidP="008645A1">
            <w:pPr>
              <w:widowControl/>
              <w:jc w:val="left"/>
              <w:rPr>
                <w:rFonts w:ascii="Segoe UI" w:eastAsia="宋体" w:hAnsi="Segoe UI" w:cs="Segoe UI"/>
                <w:color w:val="000000"/>
                <w:kern w:val="0"/>
                <w:sz w:val="18"/>
                <w:szCs w:val="18"/>
              </w:rPr>
            </w:pPr>
            <w:r w:rsidRPr="008645A1">
              <w:rPr>
                <w:rFonts w:ascii="Segoe UI" w:eastAsia="宋体" w:hAnsi="Segoe UI" w:cs="Segoe UI"/>
                <w:b/>
                <w:bCs/>
                <w:color w:val="000000"/>
                <w:kern w:val="0"/>
                <w:sz w:val="18"/>
                <w:szCs w:val="18"/>
              </w:rPr>
              <w:t>C.</w:t>
            </w:r>
            <w:r w:rsidRPr="008645A1">
              <w:rPr>
                <w:rFonts w:ascii="Segoe UI" w:eastAsia="宋体" w:hAnsi="Segoe UI" w:cs="Segoe UI"/>
                <w:color w:val="000000"/>
                <w:kern w:val="0"/>
                <w:sz w:val="18"/>
                <w:szCs w:val="18"/>
              </w:rPr>
              <w:t xml:space="preserve"> 474.</w:t>
            </w: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r>
      <w:tr w:rsidR="008645A1" w:rsidRPr="008645A1" w:rsidTr="008645A1">
        <w:trPr>
          <w:trHeight w:val="525"/>
          <w:tblCellSpacing w:w="15" w:type="dxa"/>
        </w:trPr>
        <w:tc>
          <w:tcPr>
            <w:tcW w:w="375" w:type="dxa"/>
            <w:noWrap/>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w:t>
            </w:r>
          </w:p>
        </w:tc>
        <w:tc>
          <w:tcPr>
            <w:tcW w:w="0" w:type="auto"/>
            <w:gridSpan w:val="5"/>
            <w:shd w:val="clear" w:color="auto" w:fill="9ACD32"/>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b/>
                <w:bCs/>
                <w:color w:val="000080"/>
                <w:kern w:val="0"/>
                <w:sz w:val="16"/>
                <w:szCs w:val="16"/>
              </w:rPr>
              <w:t>Feedback:</w:t>
            </w:r>
            <w:r w:rsidRPr="008645A1">
              <w:rPr>
                <w:rFonts w:ascii="Segoe UI" w:eastAsia="宋体" w:hAnsi="Segoe UI" w:cs="Segoe UI"/>
                <w:color w:val="333333"/>
                <w:kern w:val="0"/>
                <w:sz w:val="18"/>
                <w:szCs w:val="18"/>
              </w:rPr>
              <w:t xml:space="preserve"> You have answered correctly.</w:t>
            </w:r>
            <w:r w:rsidRPr="008645A1">
              <w:rPr>
                <w:rFonts w:ascii="Segoe UI" w:eastAsia="宋体" w:hAnsi="Segoe UI" w:cs="Segoe UI"/>
                <w:color w:val="333333"/>
                <w:kern w:val="0"/>
                <w:sz w:val="18"/>
                <w:szCs w:val="18"/>
              </w:rPr>
              <w:br/>
            </w:r>
            <w:r w:rsidRPr="008645A1">
              <w:rPr>
                <w:rFonts w:ascii="Segoe UI" w:eastAsia="宋体" w:hAnsi="Segoe UI" w:cs="Segoe UI"/>
                <w:color w:val="333333"/>
                <w:kern w:val="0"/>
                <w:sz w:val="18"/>
                <w:szCs w:val="18"/>
              </w:rPr>
              <w:br/>
              <w:t xml:space="preserve">Correct answer: </w:t>
            </w:r>
            <w:r w:rsidRPr="008645A1">
              <w:rPr>
                <w:rFonts w:ascii="Segoe UI" w:eastAsia="宋体" w:hAnsi="Segoe UI" w:cs="Segoe UI"/>
                <w:b/>
                <w:bCs/>
                <w:color w:val="333333"/>
                <w:kern w:val="0"/>
                <w:sz w:val="18"/>
                <w:szCs w:val="18"/>
              </w:rPr>
              <w:t>A</w:t>
            </w:r>
            <w:r w:rsidRPr="008645A1">
              <w:rPr>
                <w:rFonts w:ascii="Segoe UI" w:eastAsia="宋体" w:hAnsi="Segoe UI" w:cs="Segoe UI"/>
                <w:color w:val="333333"/>
                <w:kern w:val="0"/>
                <w:sz w:val="18"/>
                <w:szCs w:val="18"/>
              </w:rPr>
              <w:br/>
            </w:r>
            <w:r w:rsidRPr="008645A1">
              <w:rPr>
                <w:rFonts w:ascii="Segoe UI" w:eastAsia="宋体" w:hAnsi="Segoe UI" w:cs="Segoe UI"/>
                <w:color w:val="333333"/>
                <w:kern w:val="0"/>
                <w:sz w:val="18"/>
                <w:szCs w:val="18"/>
              </w:rPr>
              <w:br/>
              <w:t xml:space="preserve">"Discounted Cash Flow Applications," Richard A. </w:t>
            </w:r>
            <w:proofErr w:type="spellStart"/>
            <w:r w:rsidRPr="008645A1">
              <w:rPr>
                <w:rFonts w:ascii="Segoe UI" w:eastAsia="宋体" w:hAnsi="Segoe UI" w:cs="Segoe UI"/>
                <w:color w:val="333333"/>
                <w:kern w:val="0"/>
                <w:sz w:val="18"/>
                <w:szCs w:val="18"/>
              </w:rPr>
              <w:t>DeFusco</w:t>
            </w:r>
            <w:proofErr w:type="spellEnd"/>
            <w:r w:rsidRPr="008645A1">
              <w:rPr>
                <w:rFonts w:ascii="Segoe UI" w:eastAsia="宋体" w:hAnsi="Segoe UI" w:cs="Segoe UI"/>
                <w:color w:val="333333"/>
                <w:kern w:val="0"/>
                <w:sz w:val="18"/>
                <w:szCs w:val="18"/>
              </w:rPr>
              <w:t xml:space="preserve">, CFA, Dennis W. </w:t>
            </w:r>
            <w:proofErr w:type="spellStart"/>
            <w:r w:rsidRPr="008645A1">
              <w:rPr>
                <w:rFonts w:ascii="Segoe UI" w:eastAsia="宋体" w:hAnsi="Segoe UI" w:cs="Segoe UI"/>
                <w:color w:val="333333"/>
                <w:kern w:val="0"/>
                <w:sz w:val="18"/>
                <w:szCs w:val="18"/>
              </w:rPr>
              <w:t>McLeavey</w:t>
            </w:r>
            <w:proofErr w:type="spellEnd"/>
            <w:r w:rsidRPr="008645A1">
              <w:rPr>
                <w:rFonts w:ascii="Segoe UI" w:eastAsia="宋体" w:hAnsi="Segoe UI" w:cs="Segoe UI"/>
                <w:color w:val="333333"/>
                <w:kern w:val="0"/>
                <w:sz w:val="18"/>
                <w:szCs w:val="18"/>
              </w:rPr>
              <w:t xml:space="preserve">, CFA, Jerald E. Pinto, CFA, and David E. </w:t>
            </w:r>
            <w:proofErr w:type="spellStart"/>
            <w:r w:rsidRPr="008645A1">
              <w:rPr>
                <w:rFonts w:ascii="Segoe UI" w:eastAsia="宋体" w:hAnsi="Segoe UI" w:cs="Segoe UI"/>
                <w:color w:val="333333"/>
                <w:kern w:val="0"/>
                <w:sz w:val="18"/>
                <w:szCs w:val="18"/>
              </w:rPr>
              <w:t>Runkle</w:t>
            </w:r>
            <w:proofErr w:type="spellEnd"/>
            <w:r w:rsidRPr="008645A1">
              <w:rPr>
                <w:rFonts w:ascii="Segoe UI" w:eastAsia="宋体" w:hAnsi="Segoe UI" w:cs="Segoe UI"/>
                <w:color w:val="333333"/>
                <w:kern w:val="0"/>
                <w:sz w:val="18"/>
                <w:szCs w:val="18"/>
              </w:rPr>
              <w:t>, CFA</w:t>
            </w:r>
            <w:r w:rsidRPr="008645A1">
              <w:rPr>
                <w:rFonts w:ascii="Segoe UI" w:eastAsia="宋体" w:hAnsi="Segoe UI" w:cs="Segoe UI"/>
                <w:color w:val="333333"/>
                <w:kern w:val="0"/>
                <w:sz w:val="18"/>
                <w:szCs w:val="18"/>
              </w:rPr>
              <w:br/>
              <w:t>2011 Modular Level I, Vol. 1, pp. 312–314</w:t>
            </w:r>
            <w:r w:rsidRPr="008645A1">
              <w:rPr>
                <w:rFonts w:ascii="Segoe UI" w:eastAsia="宋体" w:hAnsi="Segoe UI" w:cs="Segoe UI"/>
                <w:color w:val="333333"/>
                <w:kern w:val="0"/>
                <w:sz w:val="18"/>
                <w:szCs w:val="18"/>
              </w:rPr>
              <w:br/>
              <w:t>"Capital Budgeting," John D. Stowe, CFA, and Jacques R. Gagne, CFA</w:t>
            </w:r>
            <w:r w:rsidRPr="008645A1">
              <w:rPr>
                <w:rFonts w:ascii="Segoe UI" w:eastAsia="宋体" w:hAnsi="Segoe UI" w:cs="Segoe UI"/>
                <w:color w:val="333333"/>
                <w:kern w:val="0"/>
                <w:sz w:val="18"/>
                <w:szCs w:val="18"/>
              </w:rPr>
              <w:br/>
              <w:t>2011 Modular Level I, Vol. 4, pp. 10–11</w:t>
            </w:r>
            <w:r w:rsidRPr="008645A1">
              <w:rPr>
                <w:rFonts w:ascii="Segoe UI" w:eastAsia="宋体" w:hAnsi="Segoe UI" w:cs="Segoe UI"/>
                <w:color w:val="333333"/>
                <w:kern w:val="0"/>
                <w:sz w:val="18"/>
                <w:szCs w:val="18"/>
              </w:rPr>
              <w:br/>
              <w:t>Study Sessions 2–6–a, 11–44–d</w:t>
            </w:r>
            <w:r w:rsidRPr="008645A1">
              <w:rPr>
                <w:rFonts w:ascii="Segoe UI" w:eastAsia="宋体" w:hAnsi="Segoe UI" w:cs="Segoe UI"/>
                <w:color w:val="333333"/>
                <w:kern w:val="0"/>
                <w:sz w:val="18"/>
                <w:szCs w:val="18"/>
              </w:rPr>
              <w:br/>
              <w:t>Calculate and interpret the net present value (NPV) and the internal rate of return (IRR) of an investment.</w:t>
            </w:r>
            <w:r w:rsidRPr="008645A1">
              <w:rPr>
                <w:rFonts w:ascii="Segoe UI" w:eastAsia="宋体" w:hAnsi="Segoe UI" w:cs="Segoe UI"/>
                <w:color w:val="333333"/>
                <w:kern w:val="0"/>
                <w:sz w:val="18"/>
                <w:szCs w:val="18"/>
              </w:rPr>
              <w:br/>
              <w:t>Calculate and interpret the results using each of the following methods to evaluate a single capital project: net present value (NPV), internal rate of return (IRR), payback period, discounted payback period, and profitability index (PI).</w:t>
            </w:r>
            <w:r w:rsidRPr="008645A1">
              <w:rPr>
                <w:rFonts w:ascii="Segoe UI" w:eastAsia="宋体" w:hAnsi="Segoe UI" w:cs="Segoe UI"/>
                <w:color w:val="333333"/>
                <w:kern w:val="0"/>
                <w:sz w:val="18"/>
                <w:szCs w:val="18"/>
              </w:rPr>
              <w:br/>
            </w:r>
            <w:r w:rsidRPr="008645A1">
              <w:rPr>
                <w:rFonts w:ascii="Segoe UI" w:eastAsia="宋体" w:hAnsi="Segoe UI" w:cs="Segoe UI"/>
                <w:color w:val="333333"/>
                <w:kern w:val="0"/>
                <w:sz w:val="18"/>
                <w:szCs w:val="18"/>
              </w:rPr>
              <w:br/>
              <w:t>Enter the given cash flows and the given discount rate into a financial calculator and solve for NPV. The NPV is –1,780 (negative 1,780). </w:t>
            </w:r>
          </w:p>
        </w:tc>
      </w:tr>
    </w:tbl>
    <w:p w:rsidR="003554DD" w:rsidRDefault="003554DD">
      <w:pPr>
        <w:rPr>
          <w:rFonts w:hint="eastAsia"/>
        </w:rPr>
      </w:pPr>
    </w:p>
    <w:tbl>
      <w:tblPr>
        <w:tblW w:w="5000" w:type="pct"/>
        <w:tblCellSpacing w:w="15" w:type="dxa"/>
        <w:tblCellMar>
          <w:top w:w="30" w:type="dxa"/>
          <w:left w:w="30" w:type="dxa"/>
          <w:bottom w:w="30" w:type="dxa"/>
          <w:right w:w="30" w:type="dxa"/>
        </w:tblCellMar>
        <w:tblLook w:val="04A0"/>
      </w:tblPr>
      <w:tblGrid>
        <w:gridCol w:w="420"/>
        <w:gridCol w:w="748"/>
        <w:gridCol w:w="6985"/>
        <w:gridCol w:w="96"/>
        <w:gridCol w:w="96"/>
        <w:gridCol w:w="111"/>
      </w:tblGrid>
      <w:tr w:rsidR="008645A1" w:rsidRPr="008645A1" w:rsidTr="008645A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8645A1" w:rsidRPr="008645A1" w:rsidRDefault="008645A1" w:rsidP="008645A1">
            <w:pPr>
              <w:widowControl/>
              <w:jc w:val="left"/>
              <w:rPr>
                <w:rFonts w:ascii="Segoe UI" w:eastAsia="宋体" w:hAnsi="Segoe UI" w:cs="Segoe UI"/>
                <w:b/>
                <w:bCs/>
                <w:color w:val="000000"/>
                <w:kern w:val="0"/>
                <w:sz w:val="18"/>
                <w:szCs w:val="18"/>
              </w:rPr>
            </w:pPr>
            <w:r w:rsidRPr="008645A1">
              <w:rPr>
                <w:rFonts w:ascii="Segoe UI" w:eastAsia="宋体" w:hAnsi="Segoe UI" w:cs="Segoe UI"/>
                <w:b/>
                <w:bCs/>
                <w:color w:val="000000"/>
                <w:kern w:val="0"/>
                <w:sz w:val="18"/>
                <w:szCs w:val="18"/>
              </w:rPr>
              <w:t>13</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xml:space="preserve">Over a four-year period, a portfolio has returns of 10 percent, –2 percent, 18 percent, and –12 percent. The geometric mean return across the period is </w:t>
            </w:r>
            <w:r w:rsidRPr="008645A1">
              <w:rPr>
                <w:rFonts w:ascii="Segoe UI" w:eastAsia="宋体" w:hAnsi="Segoe UI" w:cs="Segoe UI"/>
                <w:i/>
                <w:iCs/>
                <w:color w:val="333333"/>
                <w:kern w:val="0"/>
                <w:sz w:val="18"/>
                <w:szCs w:val="18"/>
              </w:rPr>
              <w:t>closest</w:t>
            </w:r>
            <w:r w:rsidRPr="008645A1">
              <w:rPr>
                <w:rFonts w:ascii="Segoe UI" w:eastAsia="宋体" w:hAnsi="Segoe UI" w:cs="Segoe UI"/>
                <w:color w:val="333333"/>
                <w:kern w:val="0"/>
                <w:sz w:val="18"/>
                <w:szCs w:val="18"/>
              </w:rPr>
              <w:t xml:space="preserve"> to:</w:t>
            </w:r>
          </w:p>
        </w:tc>
      </w:tr>
      <w:tr w:rsidR="008645A1" w:rsidRPr="008645A1" w:rsidTr="008645A1">
        <w:trPr>
          <w:trHeight w:val="525"/>
          <w:tblCellSpacing w:w="15" w:type="dxa"/>
        </w:trPr>
        <w:tc>
          <w:tcPr>
            <w:tcW w:w="375" w:type="dxa"/>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645A1" w:rsidRPr="008645A1" w:rsidRDefault="008645A1" w:rsidP="008645A1">
            <w:pPr>
              <w:widowControl/>
              <w:jc w:val="center"/>
              <w:rPr>
                <w:rFonts w:ascii="Segoe UI" w:eastAsia="宋体" w:hAnsi="Segoe UI" w:cs="Segoe UI"/>
                <w:color w:val="000000"/>
                <w:kern w:val="0"/>
                <w:sz w:val="18"/>
                <w:szCs w:val="18"/>
              </w:rPr>
            </w:pPr>
            <w:r w:rsidRPr="008645A1">
              <w:rPr>
                <w:rFonts w:ascii="Segoe UI" w:eastAsia="宋体" w:hAnsi="Segoe UI" w:cs="Segoe UI"/>
                <w:color w:val="000000"/>
                <w:kern w:val="0"/>
                <w:sz w:val="18"/>
                <w:szCs w:val="18"/>
              </w:rPr>
              <w:object w:dxaOrig="1440" w:dyaOrig="1440">
                <v:shape id="_x0000_i1162" type="#_x0000_t75" style="width:20.25pt;height:15.75pt" o:ole="">
                  <v:imagedata r:id="rId7" o:title=""/>
                </v:shape>
                <w:control r:id="rId45" w:name="DefaultOcxName32" w:shapeid="_x0000_i116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645A1" w:rsidRPr="008645A1" w:rsidRDefault="008645A1" w:rsidP="008645A1">
            <w:pPr>
              <w:widowControl/>
              <w:jc w:val="left"/>
              <w:rPr>
                <w:rFonts w:ascii="Segoe UI" w:eastAsia="宋体" w:hAnsi="Segoe UI" w:cs="Segoe UI"/>
                <w:color w:val="000000"/>
                <w:kern w:val="0"/>
                <w:sz w:val="18"/>
                <w:szCs w:val="18"/>
              </w:rPr>
            </w:pPr>
            <w:r w:rsidRPr="008645A1">
              <w:rPr>
                <w:rFonts w:ascii="Segoe UI" w:eastAsia="宋体" w:hAnsi="Segoe UI" w:cs="Segoe UI"/>
                <w:b/>
                <w:bCs/>
                <w:color w:val="000000"/>
                <w:kern w:val="0"/>
                <w:sz w:val="18"/>
                <w:szCs w:val="18"/>
              </w:rPr>
              <w:t>A.</w:t>
            </w:r>
            <w:r w:rsidRPr="008645A1">
              <w:rPr>
                <w:rFonts w:ascii="Segoe UI" w:eastAsia="宋体" w:hAnsi="Segoe UI" w:cs="Segoe UI"/>
                <w:color w:val="000000"/>
                <w:kern w:val="0"/>
                <w:sz w:val="18"/>
                <w:szCs w:val="18"/>
              </w:rPr>
              <w:t xml:space="preserve"> 2.9%.</w:t>
            </w: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r>
      <w:tr w:rsidR="008645A1" w:rsidRPr="008645A1" w:rsidTr="008645A1">
        <w:trPr>
          <w:trHeight w:val="525"/>
          <w:tblCellSpacing w:w="15" w:type="dxa"/>
        </w:trPr>
        <w:tc>
          <w:tcPr>
            <w:tcW w:w="375" w:type="dxa"/>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645A1" w:rsidRPr="008645A1" w:rsidRDefault="008645A1" w:rsidP="008645A1">
            <w:pPr>
              <w:widowControl/>
              <w:jc w:val="center"/>
              <w:rPr>
                <w:rFonts w:ascii="Segoe UI" w:eastAsia="宋体" w:hAnsi="Segoe UI" w:cs="Segoe UI"/>
                <w:color w:val="000000"/>
                <w:kern w:val="0"/>
                <w:sz w:val="18"/>
                <w:szCs w:val="18"/>
              </w:rPr>
            </w:pPr>
            <w:r w:rsidRPr="008645A1">
              <w:rPr>
                <w:rFonts w:ascii="Segoe UI" w:eastAsia="宋体" w:hAnsi="Segoe UI" w:cs="Segoe UI"/>
                <w:color w:val="000000"/>
                <w:kern w:val="0"/>
                <w:sz w:val="18"/>
                <w:szCs w:val="18"/>
              </w:rPr>
              <w:object w:dxaOrig="1440" w:dyaOrig="1440">
                <v:shape id="_x0000_i1161" type="#_x0000_t75" style="width:20.25pt;height:15.75pt" o:ole="">
                  <v:imagedata r:id="rId9" o:title=""/>
                </v:shape>
                <w:control r:id="rId46" w:name="DefaultOcxName112" w:shapeid="_x0000_i116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645A1" w:rsidRPr="008645A1" w:rsidRDefault="008645A1" w:rsidP="008645A1">
            <w:pPr>
              <w:widowControl/>
              <w:jc w:val="left"/>
              <w:rPr>
                <w:rFonts w:ascii="Segoe UI" w:eastAsia="宋体" w:hAnsi="Segoe UI" w:cs="Segoe UI"/>
                <w:color w:val="000000"/>
                <w:kern w:val="0"/>
                <w:sz w:val="18"/>
                <w:szCs w:val="18"/>
              </w:rPr>
            </w:pPr>
            <w:r w:rsidRPr="008645A1">
              <w:rPr>
                <w:rFonts w:ascii="Segoe UI" w:eastAsia="宋体" w:hAnsi="Segoe UI" w:cs="Segoe UI"/>
                <w:b/>
                <w:bCs/>
                <w:color w:val="000000"/>
                <w:kern w:val="0"/>
                <w:sz w:val="18"/>
                <w:szCs w:val="18"/>
              </w:rPr>
              <w:t>B.</w:t>
            </w:r>
            <w:r w:rsidRPr="008645A1">
              <w:rPr>
                <w:rFonts w:ascii="Segoe UI" w:eastAsia="宋体" w:hAnsi="Segoe UI" w:cs="Segoe UI"/>
                <w:color w:val="000000"/>
                <w:kern w:val="0"/>
                <w:sz w:val="18"/>
                <w:szCs w:val="18"/>
              </w:rPr>
              <w:t xml:space="preserve"> 3.5%.</w:t>
            </w: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r>
      <w:tr w:rsidR="008645A1" w:rsidRPr="008645A1" w:rsidTr="008645A1">
        <w:trPr>
          <w:trHeight w:val="525"/>
          <w:tblCellSpacing w:w="15" w:type="dxa"/>
        </w:trPr>
        <w:tc>
          <w:tcPr>
            <w:tcW w:w="375" w:type="dxa"/>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645A1" w:rsidRPr="008645A1" w:rsidRDefault="008645A1" w:rsidP="008645A1">
            <w:pPr>
              <w:widowControl/>
              <w:jc w:val="center"/>
              <w:rPr>
                <w:rFonts w:ascii="Segoe UI" w:eastAsia="宋体" w:hAnsi="Segoe UI" w:cs="Segoe UI"/>
                <w:color w:val="000000"/>
                <w:kern w:val="0"/>
                <w:sz w:val="18"/>
                <w:szCs w:val="18"/>
              </w:rPr>
            </w:pPr>
            <w:r w:rsidRPr="008645A1">
              <w:rPr>
                <w:rFonts w:ascii="Segoe UI" w:eastAsia="宋体" w:hAnsi="Segoe UI" w:cs="Segoe UI"/>
                <w:color w:val="000000"/>
                <w:kern w:val="0"/>
                <w:sz w:val="18"/>
                <w:szCs w:val="18"/>
              </w:rPr>
              <w:object w:dxaOrig="1440" w:dyaOrig="1440">
                <v:shape id="_x0000_i1160" type="#_x0000_t75" style="width:20.25pt;height:15.75pt" o:ole="">
                  <v:imagedata r:id="rId9" o:title=""/>
                </v:shape>
                <w:control r:id="rId47" w:name="DefaultOcxName212" w:shapeid="_x0000_i116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645A1" w:rsidRPr="008645A1" w:rsidRDefault="008645A1" w:rsidP="008645A1">
            <w:pPr>
              <w:widowControl/>
              <w:jc w:val="left"/>
              <w:rPr>
                <w:rFonts w:ascii="Segoe UI" w:eastAsia="宋体" w:hAnsi="Segoe UI" w:cs="Segoe UI"/>
                <w:color w:val="000000"/>
                <w:kern w:val="0"/>
                <w:sz w:val="18"/>
                <w:szCs w:val="18"/>
              </w:rPr>
            </w:pPr>
            <w:r w:rsidRPr="008645A1">
              <w:rPr>
                <w:rFonts w:ascii="Segoe UI" w:eastAsia="宋体" w:hAnsi="Segoe UI" w:cs="Segoe UI"/>
                <w:b/>
                <w:bCs/>
                <w:color w:val="000000"/>
                <w:kern w:val="0"/>
                <w:sz w:val="18"/>
                <w:szCs w:val="18"/>
              </w:rPr>
              <w:t>C.</w:t>
            </w:r>
            <w:r w:rsidRPr="008645A1">
              <w:rPr>
                <w:rFonts w:ascii="Segoe UI" w:eastAsia="宋体" w:hAnsi="Segoe UI" w:cs="Segoe UI"/>
                <w:color w:val="000000"/>
                <w:kern w:val="0"/>
                <w:sz w:val="18"/>
                <w:szCs w:val="18"/>
              </w:rPr>
              <w:t xml:space="preserve"> 8.1%.</w:t>
            </w: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r>
      <w:tr w:rsidR="008645A1" w:rsidRPr="008645A1" w:rsidTr="008645A1">
        <w:trPr>
          <w:trHeight w:val="525"/>
          <w:tblCellSpacing w:w="15" w:type="dxa"/>
        </w:trPr>
        <w:tc>
          <w:tcPr>
            <w:tcW w:w="375" w:type="dxa"/>
            <w:noWrap/>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w:t>
            </w:r>
          </w:p>
        </w:tc>
        <w:tc>
          <w:tcPr>
            <w:tcW w:w="0" w:type="auto"/>
            <w:gridSpan w:val="5"/>
            <w:shd w:val="clear" w:color="auto" w:fill="9ACD32"/>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b/>
                <w:bCs/>
                <w:color w:val="000080"/>
                <w:kern w:val="0"/>
                <w:sz w:val="16"/>
                <w:szCs w:val="16"/>
              </w:rPr>
              <w:t>Feedback:</w:t>
            </w:r>
            <w:r w:rsidRPr="008645A1">
              <w:rPr>
                <w:rFonts w:ascii="Segoe UI" w:eastAsia="宋体" w:hAnsi="Segoe UI" w:cs="Segoe UI"/>
                <w:color w:val="333333"/>
                <w:kern w:val="0"/>
                <w:sz w:val="18"/>
                <w:szCs w:val="18"/>
              </w:rPr>
              <w:t xml:space="preserve"> You have answered correctly.</w:t>
            </w:r>
            <w:r w:rsidRPr="008645A1">
              <w:rPr>
                <w:rFonts w:ascii="Segoe UI" w:eastAsia="宋体" w:hAnsi="Segoe UI" w:cs="Segoe UI"/>
                <w:color w:val="333333"/>
                <w:kern w:val="0"/>
                <w:sz w:val="18"/>
                <w:szCs w:val="18"/>
              </w:rPr>
              <w:br/>
            </w:r>
            <w:r w:rsidRPr="008645A1">
              <w:rPr>
                <w:rFonts w:ascii="Segoe UI" w:eastAsia="宋体" w:hAnsi="Segoe UI" w:cs="Segoe UI"/>
                <w:color w:val="333333"/>
                <w:kern w:val="0"/>
                <w:sz w:val="18"/>
                <w:szCs w:val="18"/>
              </w:rPr>
              <w:br/>
              <w:t xml:space="preserve">Correct answer: </w:t>
            </w:r>
            <w:r w:rsidRPr="008645A1">
              <w:rPr>
                <w:rFonts w:ascii="Segoe UI" w:eastAsia="宋体" w:hAnsi="Segoe UI" w:cs="Segoe UI"/>
                <w:b/>
                <w:bCs/>
                <w:color w:val="333333"/>
                <w:kern w:val="0"/>
                <w:sz w:val="18"/>
                <w:szCs w:val="18"/>
              </w:rPr>
              <w:t>A</w:t>
            </w:r>
            <w:r w:rsidRPr="008645A1">
              <w:rPr>
                <w:rFonts w:ascii="Segoe UI" w:eastAsia="宋体" w:hAnsi="Segoe UI" w:cs="Segoe UI"/>
                <w:color w:val="333333"/>
                <w:kern w:val="0"/>
                <w:sz w:val="18"/>
                <w:szCs w:val="18"/>
              </w:rPr>
              <w:br/>
            </w:r>
            <w:r w:rsidRPr="008645A1">
              <w:rPr>
                <w:rFonts w:ascii="Segoe UI" w:eastAsia="宋体" w:hAnsi="Segoe UI" w:cs="Segoe UI"/>
                <w:color w:val="333333"/>
                <w:kern w:val="0"/>
                <w:sz w:val="18"/>
                <w:szCs w:val="18"/>
              </w:rPr>
              <w:br/>
              <w:t xml:space="preserve">"Statistical Concepts and Market Returns," Richard A. </w:t>
            </w:r>
            <w:proofErr w:type="spellStart"/>
            <w:r w:rsidRPr="008645A1">
              <w:rPr>
                <w:rFonts w:ascii="Segoe UI" w:eastAsia="宋体" w:hAnsi="Segoe UI" w:cs="Segoe UI"/>
                <w:color w:val="333333"/>
                <w:kern w:val="0"/>
                <w:sz w:val="18"/>
                <w:szCs w:val="18"/>
              </w:rPr>
              <w:t>DeFusco</w:t>
            </w:r>
            <w:proofErr w:type="spellEnd"/>
            <w:r w:rsidRPr="008645A1">
              <w:rPr>
                <w:rFonts w:ascii="Segoe UI" w:eastAsia="宋体" w:hAnsi="Segoe UI" w:cs="Segoe UI"/>
                <w:color w:val="333333"/>
                <w:kern w:val="0"/>
                <w:sz w:val="18"/>
                <w:szCs w:val="18"/>
              </w:rPr>
              <w:t xml:space="preserve">, CFA, Dennis W. </w:t>
            </w:r>
            <w:proofErr w:type="spellStart"/>
            <w:r w:rsidRPr="008645A1">
              <w:rPr>
                <w:rFonts w:ascii="Segoe UI" w:eastAsia="宋体" w:hAnsi="Segoe UI" w:cs="Segoe UI"/>
                <w:color w:val="333333"/>
                <w:kern w:val="0"/>
                <w:sz w:val="18"/>
                <w:szCs w:val="18"/>
              </w:rPr>
              <w:t>McLeavey</w:t>
            </w:r>
            <w:proofErr w:type="spellEnd"/>
            <w:r w:rsidRPr="008645A1">
              <w:rPr>
                <w:rFonts w:ascii="Segoe UI" w:eastAsia="宋体" w:hAnsi="Segoe UI" w:cs="Segoe UI"/>
                <w:color w:val="333333"/>
                <w:kern w:val="0"/>
                <w:sz w:val="18"/>
                <w:szCs w:val="18"/>
              </w:rPr>
              <w:t xml:space="preserve">, CFA, Jerald E. Pinto, CFA, and David E. </w:t>
            </w:r>
            <w:proofErr w:type="spellStart"/>
            <w:r w:rsidRPr="008645A1">
              <w:rPr>
                <w:rFonts w:ascii="Segoe UI" w:eastAsia="宋体" w:hAnsi="Segoe UI" w:cs="Segoe UI"/>
                <w:color w:val="333333"/>
                <w:kern w:val="0"/>
                <w:sz w:val="18"/>
                <w:szCs w:val="18"/>
              </w:rPr>
              <w:t>Runkle</w:t>
            </w:r>
            <w:proofErr w:type="spellEnd"/>
            <w:r w:rsidRPr="008645A1">
              <w:rPr>
                <w:rFonts w:ascii="Segoe UI" w:eastAsia="宋体" w:hAnsi="Segoe UI" w:cs="Segoe UI"/>
                <w:color w:val="333333"/>
                <w:kern w:val="0"/>
                <w:sz w:val="18"/>
                <w:szCs w:val="18"/>
              </w:rPr>
              <w:t>, CFA</w:t>
            </w:r>
            <w:r w:rsidRPr="008645A1">
              <w:rPr>
                <w:rFonts w:ascii="Segoe UI" w:eastAsia="宋体" w:hAnsi="Segoe UI" w:cs="Segoe UI"/>
                <w:color w:val="333333"/>
                <w:kern w:val="0"/>
                <w:sz w:val="18"/>
                <w:szCs w:val="18"/>
              </w:rPr>
              <w:br/>
              <w:t>2011 Modular Level I, Vol. 1, pp. 370–373</w:t>
            </w:r>
            <w:r w:rsidRPr="008645A1">
              <w:rPr>
                <w:rFonts w:ascii="Segoe UI" w:eastAsia="宋体" w:hAnsi="Segoe UI" w:cs="Segoe UI"/>
                <w:color w:val="333333"/>
                <w:kern w:val="0"/>
                <w:sz w:val="18"/>
                <w:szCs w:val="18"/>
              </w:rPr>
              <w:br/>
              <w:t>Study Session 2–7–e</w:t>
            </w:r>
            <w:r w:rsidRPr="008645A1">
              <w:rPr>
                <w:rFonts w:ascii="Segoe UI" w:eastAsia="宋体" w:hAnsi="Segoe UI" w:cs="Segoe UI"/>
                <w:color w:val="333333"/>
                <w:kern w:val="0"/>
                <w:sz w:val="18"/>
                <w:szCs w:val="18"/>
              </w:rPr>
              <w:br/>
              <w:t xml:space="preserve">Define, calculate, and interpret measures of central tendency, including the population mean, sample mean, arithmetic mean, weighted average or mean (including a portfolio return viewed as a </w:t>
            </w:r>
            <w:r w:rsidRPr="008645A1">
              <w:rPr>
                <w:rFonts w:ascii="Segoe UI" w:eastAsia="宋体" w:hAnsi="Segoe UI" w:cs="Segoe UI"/>
                <w:color w:val="333333"/>
                <w:kern w:val="0"/>
                <w:sz w:val="18"/>
                <w:szCs w:val="18"/>
              </w:rPr>
              <w:lastRenderedPageBreak/>
              <w:t>weighted mean), geometric mean, harmonic mean, median, and mode.</w:t>
            </w:r>
            <w:r w:rsidRPr="008645A1">
              <w:rPr>
                <w:rFonts w:ascii="Segoe UI" w:eastAsia="宋体" w:hAnsi="Segoe UI" w:cs="Segoe UI"/>
                <w:color w:val="333333"/>
                <w:kern w:val="0"/>
                <w:sz w:val="18"/>
                <w:szCs w:val="18"/>
              </w:rPr>
              <w:br/>
            </w:r>
            <w:r w:rsidRPr="008645A1">
              <w:rPr>
                <w:rFonts w:ascii="Segoe UI" w:eastAsia="宋体" w:hAnsi="Segoe UI" w:cs="Segoe UI"/>
                <w:color w:val="333333"/>
                <w:kern w:val="0"/>
                <w:sz w:val="18"/>
                <w:szCs w:val="18"/>
              </w:rPr>
              <w:br/>
              <w:t>The geometric mean return is calculated as [(1 + 0.10) × (1 – 0.02) × (1 + 0.18) × (1 – 0.12)]</w:t>
            </w:r>
            <w:r w:rsidRPr="008645A1">
              <w:rPr>
                <w:rFonts w:ascii="Segoe UI" w:eastAsia="宋体" w:hAnsi="Segoe UI" w:cs="Segoe UI"/>
                <w:color w:val="333333"/>
                <w:kern w:val="0"/>
                <w:sz w:val="18"/>
                <w:szCs w:val="18"/>
                <w:vertAlign w:val="superscript"/>
              </w:rPr>
              <w:t>0.25</w:t>
            </w:r>
            <w:r w:rsidRPr="008645A1">
              <w:rPr>
                <w:rFonts w:ascii="Segoe UI" w:eastAsia="宋体" w:hAnsi="Segoe UI" w:cs="Segoe UI"/>
                <w:color w:val="333333"/>
                <w:kern w:val="0"/>
                <w:sz w:val="18"/>
                <w:szCs w:val="18"/>
              </w:rPr>
              <w:t xml:space="preserve"> – 1 = 0.0286 =&gt; 2.9% </w:t>
            </w:r>
          </w:p>
        </w:tc>
      </w:tr>
    </w:tbl>
    <w:p w:rsidR="008645A1" w:rsidRDefault="008645A1">
      <w:pPr>
        <w:rPr>
          <w:rFonts w:hint="eastAsia"/>
        </w:rPr>
      </w:pPr>
    </w:p>
    <w:tbl>
      <w:tblPr>
        <w:tblW w:w="5000" w:type="pct"/>
        <w:tblCellSpacing w:w="15" w:type="dxa"/>
        <w:tblCellMar>
          <w:top w:w="30" w:type="dxa"/>
          <w:left w:w="30" w:type="dxa"/>
          <w:bottom w:w="30" w:type="dxa"/>
          <w:right w:w="30" w:type="dxa"/>
        </w:tblCellMar>
        <w:tblLook w:val="04A0"/>
      </w:tblPr>
      <w:tblGrid>
        <w:gridCol w:w="420"/>
        <w:gridCol w:w="720"/>
        <w:gridCol w:w="7013"/>
        <w:gridCol w:w="96"/>
        <w:gridCol w:w="96"/>
        <w:gridCol w:w="111"/>
      </w:tblGrid>
      <w:tr w:rsidR="008645A1" w:rsidRPr="008645A1" w:rsidTr="008645A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8645A1" w:rsidRPr="008645A1" w:rsidRDefault="008645A1" w:rsidP="008645A1">
            <w:pPr>
              <w:widowControl/>
              <w:jc w:val="left"/>
              <w:rPr>
                <w:rFonts w:ascii="Segoe UI" w:eastAsia="宋体" w:hAnsi="Segoe UI" w:cs="Segoe UI"/>
                <w:b/>
                <w:bCs/>
                <w:color w:val="000000"/>
                <w:kern w:val="0"/>
                <w:sz w:val="18"/>
                <w:szCs w:val="18"/>
              </w:rPr>
            </w:pPr>
            <w:r w:rsidRPr="008645A1">
              <w:rPr>
                <w:rFonts w:ascii="Segoe UI" w:eastAsia="宋体" w:hAnsi="Segoe UI" w:cs="Segoe UI"/>
                <w:b/>
                <w:bCs/>
                <w:color w:val="000000"/>
                <w:kern w:val="0"/>
                <w:sz w:val="18"/>
                <w:szCs w:val="18"/>
              </w:rPr>
              <w:t>14</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xml:space="preserve">Monte Carlo simulation is </w:t>
            </w:r>
            <w:r w:rsidRPr="008645A1">
              <w:rPr>
                <w:rFonts w:ascii="Segoe UI" w:eastAsia="宋体" w:hAnsi="Segoe UI" w:cs="Segoe UI"/>
                <w:i/>
                <w:iCs/>
                <w:color w:val="333333"/>
                <w:kern w:val="0"/>
                <w:sz w:val="18"/>
                <w:szCs w:val="18"/>
              </w:rPr>
              <w:t>best</w:t>
            </w:r>
            <w:r w:rsidRPr="008645A1">
              <w:rPr>
                <w:rFonts w:ascii="Segoe UI" w:eastAsia="宋体" w:hAnsi="Segoe UI" w:cs="Segoe UI"/>
                <w:color w:val="333333"/>
                <w:kern w:val="0"/>
                <w:sz w:val="18"/>
                <w:szCs w:val="18"/>
              </w:rPr>
              <w:t xml:space="preserve"> described as:</w:t>
            </w:r>
          </w:p>
        </w:tc>
      </w:tr>
      <w:tr w:rsidR="008645A1" w:rsidRPr="008645A1" w:rsidTr="008645A1">
        <w:trPr>
          <w:trHeight w:val="525"/>
          <w:tblCellSpacing w:w="15" w:type="dxa"/>
        </w:trPr>
        <w:tc>
          <w:tcPr>
            <w:tcW w:w="375" w:type="dxa"/>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645A1" w:rsidRPr="008645A1" w:rsidRDefault="008645A1" w:rsidP="008645A1">
            <w:pPr>
              <w:widowControl/>
              <w:jc w:val="center"/>
              <w:rPr>
                <w:rFonts w:ascii="Segoe UI" w:eastAsia="宋体" w:hAnsi="Segoe UI" w:cs="Segoe UI"/>
                <w:color w:val="000000"/>
                <w:kern w:val="0"/>
                <w:sz w:val="18"/>
                <w:szCs w:val="18"/>
              </w:rPr>
            </w:pPr>
            <w:r w:rsidRPr="008645A1">
              <w:rPr>
                <w:rFonts w:ascii="Segoe UI" w:eastAsia="宋体" w:hAnsi="Segoe UI" w:cs="Segoe UI"/>
                <w:color w:val="000000"/>
                <w:kern w:val="0"/>
                <w:sz w:val="18"/>
                <w:szCs w:val="18"/>
              </w:rPr>
              <w:object w:dxaOrig="1440" w:dyaOrig="1440">
                <v:shape id="_x0000_i1171" type="#_x0000_t75" style="width:20.25pt;height:15.75pt" o:ole="">
                  <v:imagedata r:id="rId7" o:title=""/>
                </v:shape>
                <w:control r:id="rId48" w:name="DefaultOcxName33" w:shapeid="_x0000_i117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645A1" w:rsidRPr="008645A1" w:rsidRDefault="008645A1" w:rsidP="008645A1">
            <w:pPr>
              <w:widowControl/>
              <w:jc w:val="left"/>
              <w:rPr>
                <w:rFonts w:ascii="Segoe UI" w:eastAsia="宋体" w:hAnsi="Segoe UI" w:cs="Segoe UI"/>
                <w:color w:val="000000"/>
                <w:kern w:val="0"/>
                <w:sz w:val="18"/>
                <w:szCs w:val="18"/>
              </w:rPr>
            </w:pPr>
            <w:r w:rsidRPr="008645A1">
              <w:rPr>
                <w:rFonts w:ascii="Segoe UI" w:eastAsia="宋体" w:hAnsi="Segoe UI" w:cs="Segoe UI"/>
                <w:b/>
                <w:bCs/>
                <w:color w:val="000000"/>
                <w:kern w:val="0"/>
                <w:sz w:val="18"/>
                <w:szCs w:val="18"/>
              </w:rPr>
              <w:t>A.</w:t>
            </w:r>
            <w:r w:rsidRPr="008645A1">
              <w:rPr>
                <w:rFonts w:ascii="Segoe UI" w:eastAsia="宋体" w:hAnsi="Segoe UI" w:cs="Segoe UI"/>
                <w:color w:val="000000"/>
                <w:kern w:val="0"/>
                <w:sz w:val="18"/>
                <w:szCs w:val="18"/>
              </w:rPr>
              <w:t xml:space="preserve"> an approach to back testing data.</w:t>
            </w: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r>
      <w:tr w:rsidR="008645A1" w:rsidRPr="008645A1" w:rsidTr="008645A1">
        <w:trPr>
          <w:trHeight w:val="525"/>
          <w:tblCellSpacing w:w="15" w:type="dxa"/>
        </w:trPr>
        <w:tc>
          <w:tcPr>
            <w:tcW w:w="375" w:type="dxa"/>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645A1" w:rsidRPr="008645A1" w:rsidRDefault="008645A1" w:rsidP="008645A1">
            <w:pPr>
              <w:widowControl/>
              <w:jc w:val="center"/>
              <w:rPr>
                <w:rFonts w:ascii="Segoe UI" w:eastAsia="宋体" w:hAnsi="Segoe UI" w:cs="Segoe UI"/>
                <w:color w:val="000000"/>
                <w:kern w:val="0"/>
                <w:sz w:val="18"/>
                <w:szCs w:val="18"/>
              </w:rPr>
            </w:pPr>
            <w:r w:rsidRPr="008645A1">
              <w:rPr>
                <w:rFonts w:ascii="Segoe UI" w:eastAsia="宋体" w:hAnsi="Segoe UI" w:cs="Segoe UI"/>
                <w:color w:val="000000"/>
                <w:kern w:val="0"/>
                <w:sz w:val="18"/>
                <w:szCs w:val="18"/>
              </w:rPr>
              <w:object w:dxaOrig="1440" w:dyaOrig="1440">
                <v:shape id="_x0000_i1170" type="#_x0000_t75" style="width:20.25pt;height:15.75pt" o:ole="">
                  <v:imagedata r:id="rId9" o:title=""/>
                </v:shape>
                <w:control r:id="rId49" w:name="DefaultOcxName113" w:shapeid="_x0000_i117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645A1" w:rsidRPr="008645A1" w:rsidRDefault="008645A1" w:rsidP="008645A1">
            <w:pPr>
              <w:widowControl/>
              <w:jc w:val="left"/>
              <w:rPr>
                <w:rFonts w:ascii="Segoe UI" w:eastAsia="宋体" w:hAnsi="Segoe UI" w:cs="Segoe UI"/>
                <w:color w:val="000000"/>
                <w:kern w:val="0"/>
                <w:sz w:val="18"/>
                <w:szCs w:val="18"/>
              </w:rPr>
            </w:pPr>
            <w:r w:rsidRPr="008645A1">
              <w:rPr>
                <w:rFonts w:ascii="Segoe UI" w:eastAsia="宋体" w:hAnsi="Segoe UI" w:cs="Segoe UI"/>
                <w:b/>
                <w:bCs/>
                <w:color w:val="000000"/>
                <w:kern w:val="0"/>
                <w:sz w:val="18"/>
                <w:szCs w:val="18"/>
              </w:rPr>
              <w:t>B.</w:t>
            </w:r>
            <w:r w:rsidRPr="008645A1">
              <w:rPr>
                <w:rFonts w:ascii="Segoe UI" w:eastAsia="宋体" w:hAnsi="Segoe UI" w:cs="Segoe UI"/>
                <w:color w:val="000000"/>
                <w:kern w:val="0"/>
                <w:sz w:val="18"/>
                <w:szCs w:val="18"/>
              </w:rPr>
              <w:t xml:space="preserve"> providing exact analytic solutions to complex functions.</w:t>
            </w: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r>
      <w:tr w:rsidR="008645A1" w:rsidRPr="008645A1" w:rsidTr="008645A1">
        <w:trPr>
          <w:trHeight w:val="525"/>
          <w:tblCellSpacing w:w="15" w:type="dxa"/>
        </w:trPr>
        <w:tc>
          <w:tcPr>
            <w:tcW w:w="375" w:type="dxa"/>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645A1" w:rsidRPr="008645A1" w:rsidRDefault="008645A1" w:rsidP="008645A1">
            <w:pPr>
              <w:widowControl/>
              <w:jc w:val="center"/>
              <w:rPr>
                <w:rFonts w:ascii="Segoe UI" w:eastAsia="宋体" w:hAnsi="Segoe UI" w:cs="Segoe UI"/>
                <w:color w:val="000000"/>
                <w:kern w:val="0"/>
                <w:sz w:val="18"/>
                <w:szCs w:val="18"/>
              </w:rPr>
            </w:pPr>
            <w:r w:rsidRPr="008645A1">
              <w:rPr>
                <w:rFonts w:ascii="Segoe UI" w:eastAsia="宋体" w:hAnsi="Segoe UI" w:cs="Segoe UI"/>
                <w:color w:val="000000"/>
                <w:kern w:val="0"/>
                <w:sz w:val="18"/>
                <w:szCs w:val="18"/>
              </w:rPr>
              <w:object w:dxaOrig="1440" w:dyaOrig="1440">
                <v:shape id="_x0000_i1169" type="#_x0000_t75" style="width:20.25pt;height:15.75pt" o:ole="">
                  <v:imagedata r:id="rId9" o:title=""/>
                </v:shape>
                <w:control r:id="rId50" w:name="DefaultOcxName213" w:shapeid="_x0000_i116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645A1" w:rsidRPr="008645A1" w:rsidRDefault="008645A1" w:rsidP="008645A1">
            <w:pPr>
              <w:widowControl/>
              <w:jc w:val="left"/>
              <w:rPr>
                <w:rFonts w:ascii="Segoe UI" w:eastAsia="宋体" w:hAnsi="Segoe UI" w:cs="Segoe UI"/>
                <w:color w:val="000000"/>
                <w:kern w:val="0"/>
                <w:sz w:val="18"/>
                <w:szCs w:val="18"/>
              </w:rPr>
            </w:pPr>
            <w:r w:rsidRPr="008645A1">
              <w:rPr>
                <w:rFonts w:ascii="Segoe UI" w:eastAsia="宋体" w:hAnsi="Segoe UI" w:cs="Segoe UI"/>
                <w:b/>
                <w:bCs/>
                <w:color w:val="000000"/>
                <w:kern w:val="0"/>
                <w:sz w:val="18"/>
                <w:szCs w:val="18"/>
              </w:rPr>
              <w:t>C.</w:t>
            </w:r>
            <w:r w:rsidRPr="008645A1">
              <w:rPr>
                <w:rFonts w:ascii="Segoe UI" w:eastAsia="宋体" w:hAnsi="Segoe UI" w:cs="Segoe UI"/>
                <w:color w:val="000000"/>
                <w:kern w:val="0"/>
                <w:sz w:val="18"/>
                <w:szCs w:val="18"/>
              </w:rPr>
              <w:t xml:space="preserve"> providing a distribution of possible solutions to complex functions.</w:t>
            </w: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c>
          <w:tcPr>
            <w:tcW w:w="0" w:type="auto"/>
            <w:vAlign w:val="center"/>
            <w:hideMark/>
          </w:tcPr>
          <w:p w:rsidR="008645A1" w:rsidRPr="008645A1" w:rsidRDefault="008645A1" w:rsidP="008645A1">
            <w:pPr>
              <w:widowControl/>
              <w:jc w:val="left"/>
              <w:rPr>
                <w:rFonts w:ascii="Times New Roman" w:eastAsia="Times New Roman" w:hAnsi="Times New Roman" w:cs="Times New Roman"/>
                <w:kern w:val="0"/>
                <w:sz w:val="20"/>
                <w:szCs w:val="20"/>
              </w:rPr>
            </w:pPr>
          </w:p>
        </w:tc>
      </w:tr>
      <w:tr w:rsidR="008645A1" w:rsidRPr="008645A1" w:rsidTr="008645A1">
        <w:trPr>
          <w:trHeight w:val="525"/>
          <w:tblCellSpacing w:w="15" w:type="dxa"/>
        </w:trPr>
        <w:tc>
          <w:tcPr>
            <w:tcW w:w="375" w:type="dxa"/>
            <w:noWrap/>
            <w:vAlign w:val="center"/>
            <w:hideMark/>
          </w:tcPr>
          <w:p w:rsidR="008645A1" w:rsidRPr="008645A1" w:rsidRDefault="008645A1" w:rsidP="008645A1">
            <w:pPr>
              <w:widowControl/>
              <w:jc w:val="center"/>
              <w:rPr>
                <w:rFonts w:ascii="Segoe UI" w:eastAsia="宋体" w:hAnsi="Segoe UI" w:cs="Segoe UI"/>
                <w:color w:val="333333"/>
                <w:kern w:val="0"/>
                <w:sz w:val="18"/>
                <w:szCs w:val="18"/>
              </w:rPr>
            </w:pPr>
            <w:r w:rsidRPr="008645A1">
              <w:rPr>
                <w:rFonts w:ascii="Segoe UI" w:eastAsia="宋体" w:hAnsi="Segoe UI" w:cs="Segoe UI"/>
                <w:color w:val="333333"/>
                <w:kern w:val="0"/>
                <w:sz w:val="18"/>
                <w:szCs w:val="18"/>
              </w:rPr>
              <w:t> </w:t>
            </w:r>
          </w:p>
        </w:tc>
        <w:tc>
          <w:tcPr>
            <w:tcW w:w="0" w:type="auto"/>
            <w:gridSpan w:val="5"/>
            <w:shd w:val="clear" w:color="auto" w:fill="FF6347"/>
            <w:vAlign w:val="center"/>
            <w:hideMark/>
          </w:tcPr>
          <w:p w:rsidR="008645A1" w:rsidRPr="008645A1" w:rsidRDefault="008645A1" w:rsidP="008645A1">
            <w:pPr>
              <w:widowControl/>
              <w:jc w:val="left"/>
              <w:rPr>
                <w:rFonts w:ascii="Segoe UI" w:eastAsia="宋体" w:hAnsi="Segoe UI" w:cs="Segoe UI"/>
                <w:color w:val="333333"/>
                <w:kern w:val="0"/>
                <w:sz w:val="18"/>
                <w:szCs w:val="18"/>
              </w:rPr>
            </w:pPr>
            <w:r w:rsidRPr="008645A1">
              <w:rPr>
                <w:rFonts w:ascii="Segoe UI" w:eastAsia="宋体" w:hAnsi="Segoe UI" w:cs="Segoe UI"/>
                <w:b/>
                <w:bCs/>
                <w:color w:val="000080"/>
                <w:kern w:val="0"/>
                <w:sz w:val="16"/>
                <w:szCs w:val="16"/>
              </w:rPr>
              <w:t>Feedback:</w:t>
            </w:r>
            <w:r w:rsidRPr="008645A1">
              <w:rPr>
                <w:rFonts w:ascii="Segoe UI" w:eastAsia="宋体" w:hAnsi="Segoe UI" w:cs="Segoe UI"/>
                <w:color w:val="333333"/>
                <w:kern w:val="0"/>
                <w:sz w:val="18"/>
                <w:szCs w:val="18"/>
              </w:rPr>
              <w:t xml:space="preserve"> You have answered incorrectly.</w:t>
            </w:r>
            <w:r w:rsidRPr="008645A1">
              <w:rPr>
                <w:rFonts w:ascii="Segoe UI" w:eastAsia="宋体" w:hAnsi="Segoe UI" w:cs="Segoe UI"/>
                <w:color w:val="333333"/>
                <w:kern w:val="0"/>
                <w:sz w:val="18"/>
                <w:szCs w:val="18"/>
              </w:rPr>
              <w:br/>
            </w:r>
            <w:r w:rsidRPr="008645A1">
              <w:rPr>
                <w:rFonts w:ascii="Segoe UI" w:eastAsia="宋体" w:hAnsi="Segoe UI" w:cs="Segoe UI"/>
                <w:color w:val="333333"/>
                <w:kern w:val="0"/>
                <w:sz w:val="18"/>
                <w:szCs w:val="18"/>
              </w:rPr>
              <w:br/>
              <w:t xml:space="preserve">Correct answer: </w:t>
            </w:r>
            <w:r w:rsidRPr="008645A1">
              <w:rPr>
                <w:rFonts w:ascii="Segoe UI" w:eastAsia="宋体" w:hAnsi="Segoe UI" w:cs="Segoe UI"/>
                <w:b/>
                <w:bCs/>
                <w:color w:val="333333"/>
                <w:kern w:val="0"/>
                <w:sz w:val="18"/>
                <w:szCs w:val="18"/>
              </w:rPr>
              <w:t>C</w:t>
            </w:r>
            <w:r w:rsidRPr="008645A1">
              <w:rPr>
                <w:rFonts w:ascii="Segoe UI" w:eastAsia="宋体" w:hAnsi="Segoe UI" w:cs="Segoe UI"/>
                <w:color w:val="333333"/>
                <w:kern w:val="0"/>
                <w:sz w:val="18"/>
                <w:szCs w:val="18"/>
              </w:rPr>
              <w:br/>
            </w:r>
            <w:r w:rsidRPr="008645A1">
              <w:rPr>
                <w:rFonts w:ascii="Segoe UI" w:eastAsia="宋体" w:hAnsi="Segoe UI" w:cs="Segoe UI"/>
                <w:color w:val="333333"/>
                <w:kern w:val="0"/>
                <w:sz w:val="18"/>
                <w:szCs w:val="18"/>
              </w:rPr>
              <w:br/>
              <w:t xml:space="preserve">"Common Probability Distributions," Richard A. </w:t>
            </w:r>
            <w:proofErr w:type="spellStart"/>
            <w:r w:rsidRPr="008645A1">
              <w:rPr>
                <w:rFonts w:ascii="Segoe UI" w:eastAsia="宋体" w:hAnsi="Segoe UI" w:cs="Segoe UI"/>
                <w:color w:val="333333"/>
                <w:kern w:val="0"/>
                <w:sz w:val="18"/>
                <w:szCs w:val="18"/>
              </w:rPr>
              <w:t>DeFusco</w:t>
            </w:r>
            <w:proofErr w:type="spellEnd"/>
            <w:r w:rsidRPr="008645A1">
              <w:rPr>
                <w:rFonts w:ascii="Segoe UI" w:eastAsia="宋体" w:hAnsi="Segoe UI" w:cs="Segoe UI"/>
                <w:color w:val="333333"/>
                <w:kern w:val="0"/>
                <w:sz w:val="18"/>
                <w:szCs w:val="18"/>
              </w:rPr>
              <w:t xml:space="preserve">, CFA, Dennis W. </w:t>
            </w:r>
            <w:proofErr w:type="spellStart"/>
            <w:r w:rsidRPr="008645A1">
              <w:rPr>
                <w:rFonts w:ascii="Segoe UI" w:eastAsia="宋体" w:hAnsi="Segoe UI" w:cs="Segoe UI"/>
                <w:color w:val="333333"/>
                <w:kern w:val="0"/>
                <w:sz w:val="18"/>
                <w:szCs w:val="18"/>
              </w:rPr>
              <w:t>McLeavey</w:t>
            </w:r>
            <w:proofErr w:type="spellEnd"/>
            <w:r w:rsidRPr="008645A1">
              <w:rPr>
                <w:rFonts w:ascii="Segoe UI" w:eastAsia="宋体" w:hAnsi="Segoe UI" w:cs="Segoe UI"/>
                <w:color w:val="333333"/>
                <w:kern w:val="0"/>
                <w:sz w:val="18"/>
                <w:szCs w:val="18"/>
              </w:rPr>
              <w:t xml:space="preserve">, CFA, Jerald E. Pinto, CFA, and David E. </w:t>
            </w:r>
            <w:proofErr w:type="spellStart"/>
            <w:r w:rsidRPr="008645A1">
              <w:rPr>
                <w:rFonts w:ascii="Segoe UI" w:eastAsia="宋体" w:hAnsi="Segoe UI" w:cs="Segoe UI"/>
                <w:color w:val="333333"/>
                <w:kern w:val="0"/>
                <w:sz w:val="18"/>
                <w:szCs w:val="18"/>
              </w:rPr>
              <w:t>Runkle</w:t>
            </w:r>
            <w:proofErr w:type="spellEnd"/>
            <w:r w:rsidRPr="008645A1">
              <w:rPr>
                <w:rFonts w:ascii="Segoe UI" w:eastAsia="宋体" w:hAnsi="Segoe UI" w:cs="Segoe UI"/>
                <w:color w:val="333333"/>
                <w:kern w:val="0"/>
                <w:sz w:val="18"/>
                <w:szCs w:val="18"/>
              </w:rPr>
              <w:t>, CFA</w:t>
            </w:r>
            <w:r w:rsidRPr="008645A1">
              <w:rPr>
                <w:rFonts w:ascii="Segoe UI" w:eastAsia="宋体" w:hAnsi="Segoe UI" w:cs="Segoe UI"/>
                <w:color w:val="333333"/>
                <w:kern w:val="0"/>
                <w:sz w:val="18"/>
                <w:szCs w:val="18"/>
              </w:rPr>
              <w:br/>
              <w:t>2011 Modular Level I, Vol. 1, pp. 528–535</w:t>
            </w:r>
            <w:r w:rsidRPr="008645A1">
              <w:rPr>
                <w:rFonts w:ascii="Segoe UI" w:eastAsia="宋体" w:hAnsi="Segoe UI" w:cs="Segoe UI"/>
                <w:color w:val="333333"/>
                <w:kern w:val="0"/>
                <w:sz w:val="18"/>
                <w:szCs w:val="18"/>
              </w:rPr>
              <w:br/>
              <w:t>Study Session 3–9–p</w:t>
            </w:r>
            <w:r w:rsidRPr="008645A1">
              <w:rPr>
                <w:rFonts w:ascii="Segoe UI" w:eastAsia="宋体" w:hAnsi="Segoe UI" w:cs="Segoe UI"/>
                <w:color w:val="333333"/>
                <w:kern w:val="0"/>
                <w:sz w:val="18"/>
                <w:szCs w:val="18"/>
              </w:rPr>
              <w:br/>
              <w:t>Explain Monte Carlo simulation and historical simulation and describe their major applications and limitations.</w:t>
            </w:r>
            <w:r w:rsidRPr="008645A1">
              <w:rPr>
                <w:rFonts w:ascii="Segoe UI" w:eastAsia="宋体" w:hAnsi="Segoe UI" w:cs="Segoe UI"/>
                <w:color w:val="333333"/>
                <w:kern w:val="0"/>
                <w:sz w:val="18"/>
                <w:szCs w:val="18"/>
              </w:rPr>
              <w:br/>
            </w:r>
            <w:r w:rsidRPr="008645A1">
              <w:rPr>
                <w:rFonts w:ascii="Segoe UI" w:eastAsia="宋体" w:hAnsi="Segoe UI" w:cs="Segoe UI"/>
                <w:color w:val="333333"/>
                <w:kern w:val="0"/>
                <w:sz w:val="18"/>
                <w:szCs w:val="18"/>
              </w:rPr>
              <w:br/>
              <w:t>Monte Carlo simulation provides a distribution of possible solutions to complex functions. The central tendency and the variance of the distribution of solutions give important clues to decision-makers regarding expected results and risk. </w:t>
            </w:r>
          </w:p>
        </w:tc>
      </w:tr>
    </w:tbl>
    <w:p w:rsidR="008645A1" w:rsidRDefault="008645A1">
      <w:pPr>
        <w:rPr>
          <w:rFonts w:hint="eastAsia"/>
        </w:rPr>
      </w:pPr>
    </w:p>
    <w:tbl>
      <w:tblPr>
        <w:tblW w:w="5000" w:type="pct"/>
        <w:tblCellSpacing w:w="15" w:type="dxa"/>
        <w:tblCellMar>
          <w:top w:w="30" w:type="dxa"/>
          <w:left w:w="30" w:type="dxa"/>
          <w:bottom w:w="30" w:type="dxa"/>
          <w:right w:w="30" w:type="dxa"/>
        </w:tblCellMar>
        <w:tblLook w:val="04A0"/>
      </w:tblPr>
      <w:tblGrid>
        <w:gridCol w:w="420"/>
        <w:gridCol w:w="623"/>
        <w:gridCol w:w="7110"/>
        <w:gridCol w:w="96"/>
        <w:gridCol w:w="96"/>
        <w:gridCol w:w="111"/>
      </w:tblGrid>
      <w:tr w:rsidR="00BA3E11" w:rsidRPr="00BA3E11" w:rsidTr="00BA3E1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A3E11" w:rsidRPr="00BA3E11" w:rsidRDefault="00BA3E11" w:rsidP="00BA3E11">
            <w:pPr>
              <w:widowControl/>
              <w:jc w:val="left"/>
              <w:rPr>
                <w:rFonts w:ascii="Segoe UI" w:eastAsia="宋体" w:hAnsi="Segoe UI" w:cs="Segoe UI"/>
                <w:b/>
                <w:bCs/>
                <w:color w:val="000000"/>
                <w:kern w:val="0"/>
                <w:sz w:val="18"/>
                <w:szCs w:val="18"/>
              </w:rPr>
            </w:pPr>
            <w:r w:rsidRPr="00BA3E11">
              <w:rPr>
                <w:rFonts w:ascii="Segoe UI" w:eastAsia="宋体" w:hAnsi="Segoe UI" w:cs="Segoe UI"/>
                <w:b/>
                <w:bCs/>
                <w:color w:val="000000"/>
                <w:kern w:val="0"/>
                <w:sz w:val="18"/>
                <w:szCs w:val="18"/>
              </w:rPr>
              <w:t>15</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xml:space="preserve">A subset of a population is </w:t>
            </w:r>
            <w:r w:rsidRPr="00BA3E11">
              <w:rPr>
                <w:rFonts w:ascii="Segoe UI" w:eastAsia="宋体" w:hAnsi="Segoe UI" w:cs="Segoe UI"/>
                <w:i/>
                <w:iCs/>
                <w:color w:val="333333"/>
                <w:kern w:val="0"/>
                <w:sz w:val="18"/>
                <w:szCs w:val="18"/>
              </w:rPr>
              <w:t>best</w:t>
            </w:r>
            <w:r w:rsidRPr="00BA3E11">
              <w:rPr>
                <w:rFonts w:ascii="Segoe UI" w:eastAsia="宋体" w:hAnsi="Segoe UI" w:cs="Segoe UI"/>
                <w:color w:val="333333"/>
                <w:kern w:val="0"/>
                <w:sz w:val="18"/>
                <w:szCs w:val="18"/>
              </w:rPr>
              <w:t xml:space="preserve"> described as a:</w:t>
            </w: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180" type="#_x0000_t75" style="width:20.25pt;height:15.75pt" o:ole="">
                  <v:imagedata r:id="rId7" o:title=""/>
                </v:shape>
                <w:control r:id="rId51" w:name="DefaultOcxName34" w:shapeid="_x0000_i118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A.</w:t>
            </w:r>
            <w:r w:rsidRPr="00BA3E11">
              <w:rPr>
                <w:rFonts w:ascii="Segoe UI" w:eastAsia="宋体" w:hAnsi="Segoe UI" w:cs="Segoe UI"/>
                <w:color w:val="000000"/>
                <w:kern w:val="0"/>
                <w:sz w:val="18"/>
                <w:szCs w:val="18"/>
              </w:rPr>
              <w:t xml:space="preserve"> sample.</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179" type="#_x0000_t75" style="width:20.25pt;height:15.75pt" o:ole="">
                  <v:imagedata r:id="rId9" o:title=""/>
                </v:shape>
                <w:control r:id="rId52" w:name="DefaultOcxName114" w:shapeid="_x0000_i117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B.</w:t>
            </w:r>
            <w:r w:rsidRPr="00BA3E11">
              <w:rPr>
                <w:rFonts w:ascii="Segoe UI" w:eastAsia="宋体" w:hAnsi="Segoe UI" w:cs="Segoe UI"/>
                <w:color w:val="000000"/>
                <w:kern w:val="0"/>
                <w:sz w:val="18"/>
                <w:szCs w:val="18"/>
              </w:rPr>
              <w:t xml:space="preserve"> statistic.</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178" type="#_x0000_t75" style="width:20.25pt;height:15.75pt" o:ole="">
                  <v:imagedata r:id="rId9" o:title=""/>
                </v:shape>
                <w:control r:id="rId53" w:name="DefaultOcxName214" w:shapeid="_x0000_i117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C.</w:t>
            </w:r>
            <w:r w:rsidRPr="00BA3E11">
              <w:rPr>
                <w:rFonts w:ascii="Segoe UI" w:eastAsia="宋体" w:hAnsi="Segoe UI" w:cs="Segoe UI"/>
                <w:color w:val="000000"/>
                <w:kern w:val="0"/>
                <w:sz w:val="18"/>
                <w:szCs w:val="18"/>
              </w:rPr>
              <w:t xml:space="preserve"> parameter.</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noWrap/>
            <w:vAlign w:val="center"/>
            <w:hideMark/>
          </w:tcPr>
          <w:p w:rsidR="00BA3E11" w:rsidRPr="00BA3E11" w:rsidRDefault="00BA3E11" w:rsidP="00BA3E11">
            <w:pPr>
              <w:widowControl/>
              <w:jc w:val="center"/>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0" w:type="auto"/>
            <w:gridSpan w:val="5"/>
            <w:shd w:val="clear" w:color="auto" w:fill="9ACD32"/>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b/>
                <w:bCs/>
                <w:color w:val="000080"/>
                <w:kern w:val="0"/>
                <w:sz w:val="16"/>
                <w:szCs w:val="16"/>
              </w:rPr>
              <w:t>Feedback:</w:t>
            </w:r>
            <w:r w:rsidRPr="00BA3E11">
              <w:rPr>
                <w:rFonts w:ascii="Segoe UI" w:eastAsia="宋体" w:hAnsi="Segoe UI" w:cs="Segoe UI"/>
                <w:color w:val="333333"/>
                <w:kern w:val="0"/>
                <w:sz w:val="18"/>
                <w:szCs w:val="18"/>
              </w:rPr>
              <w:t xml:space="preserve"> You have answered correctly.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Correct answer: </w:t>
            </w:r>
            <w:r w:rsidRPr="00BA3E11">
              <w:rPr>
                <w:rFonts w:ascii="Segoe UI" w:eastAsia="宋体" w:hAnsi="Segoe UI" w:cs="Segoe UI"/>
                <w:b/>
                <w:bCs/>
                <w:color w:val="333333"/>
                <w:kern w:val="0"/>
                <w:sz w:val="18"/>
                <w:szCs w:val="18"/>
              </w:rPr>
              <w:t>A</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"Statistical Concepts and Market Returns," Richard A. </w:t>
            </w:r>
            <w:proofErr w:type="spellStart"/>
            <w:r w:rsidRPr="00BA3E11">
              <w:rPr>
                <w:rFonts w:ascii="Segoe UI" w:eastAsia="宋体" w:hAnsi="Segoe UI" w:cs="Segoe UI"/>
                <w:color w:val="333333"/>
                <w:kern w:val="0"/>
                <w:sz w:val="18"/>
                <w:szCs w:val="18"/>
              </w:rPr>
              <w:t>DeFusco</w:t>
            </w:r>
            <w:proofErr w:type="spellEnd"/>
            <w:r w:rsidRPr="00BA3E11">
              <w:rPr>
                <w:rFonts w:ascii="Segoe UI" w:eastAsia="宋体" w:hAnsi="Segoe UI" w:cs="Segoe UI"/>
                <w:color w:val="333333"/>
                <w:kern w:val="0"/>
                <w:sz w:val="18"/>
                <w:szCs w:val="18"/>
              </w:rPr>
              <w:t xml:space="preserve">, CFA, Dennis W. </w:t>
            </w:r>
            <w:proofErr w:type="spellStart"/>
            <w:r w:rsidRPr="00BA3E11">
              <w:rPr>
                <w:rFonts w:ascii="Segoe UI" w:eastAsia="宋体" w:hAnsi="Segoe UI" w:cs="Segoe UI"/>
                <w:color w:val="333333"/>
                <w:kern w:val="0"/>
                <w:sz w:val="18"/>
                <w:szCs w:val="18"/>
              </w:rPr>
              <w:t>McLeavey</w:t>
            </w:r>
            <w:proofErr w:type="spellEnd"/>
            <w:r w:rsidRPr="00BA3E11">
              <w:rPr>
                <w:rFonts w:ascii="Segoe UI" w:eastAsia="宋体" w:hAnsi="Segoe UI" w:cs="Segoe UI"/>
                <w:color w:val="333333"/>
                <w:kern w:val="0"/>
                <w:sz w:val="18"/>
                <w:szCs w:val="18"/>
              </w:rPr>
              <w:t xml:space="preserve">, CFA, Jerald E. Pinto, CFA, and David E. </w:t>
            </w:r>
            <w:proofErr w:type="spellStart"/>
            <w:r w:rsidRPr="00BA3E11">
              <w:rPr>
                <w:rFonts w:ascii="Segoe UI" w:eastAsia="宋体" w:hAnsi="Segoe UI" w:cs="Segoe UI"/>
                <w:color w:val="333333"/>
                <w:kern w:val="0"/>
                <w:sz w:val="18"/>
                <w:szCs w:val="18"/>
              </w:rPr>
              <w:t>Runkle</w:t>
            </w:r>
            <w:proofErr w:type="spellEnd"/>
            <w:r w:rsidRPr="00BA3E11">
              <w:rPr>
                <w:rFonts w:ascii="Segoe UI" w:eastAsia="宋体" w:hAnsi="Segoe UI" w:cs="Segoe UI"/>
                <w:color w:val="333333"/>
                <w:kern w:val="0"/>
                <w:sz w:val="18"/>
                <w:szCs w:val="18"/>
              </w:rPr>
              <w:t>, CFA</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lastRenderedPageBreak/>
              <w:t>2011 Modular Level I, Vol. 1, p. 343</w:t>
            </w:r>
            <w:r w:rsidRPr="00BA3E11">
              <w:rPr>
                <w:rFonts w:ascii="Segoe UI" w:eastAsia="宋体" w:hAnsi="Segoe UI" w:cs="Segoe UI"/>
                <w:color w:val="333333"/>
                <w:kern w:val="0"/>
                <w:sz w:val="18"/>
                <w:szCs w:val="18"/>
              </w:rPr>
              <w:br/>
              <w:t>Study Session 2–7–a, b</w:t>
            </w:r>
            <w:r w:rsidRPr="00BA3E11">
              <w:rPr>
                <w:rFonts w:ascii="Segoe UI" w:eastAsia="宋体" w:hAnsi="Segoe UI" w:cs="Segoe UI"/>
                <w:color w:val="333333"/>
                <w:kern w:val="0"/>
                <w:sz w:val="18"/>
                <w:szCs w:val="18"/>
              </w:rPr>
              <w:br/>
              <w:t>Differentiate between descriptive statistics and inferential statistics, between a population and a sample, and among the types of measurement scales.</w:t>
            </w:r>
            <w:r w:rsidRPr="00BA3E11">
              <w:rPr>
                <w:rFonts w:ascii="Segoe UI" w:eastAsia="宋体" w:hAnsi="Segoe UI" w:cs="Segoe UI"/>
                <w:color w:val="333333"/>
                <w:kern w:val="0"/>
                <w:sz w:val="18"/>
                <w:szCs w:val="18"/>
              </w:rPr>
              <w:br/>
              <w:t>Define a parameter, a sample statistic, and a frequency distribution.</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A sample is a subset of a population. </w:t>
            </w:r>
          </w:p>
        </w:tc>
      </w:tr>
    </w:tbl>
    <w:p w:rsidR="008645A1" w:rsidRDefault="008645A1">
      <w:pPr>
        <w:rPr>
          <w:rFonts w:hint="eastAsia"/>
        </w:rPr>
      </w:pPr>
    </w:p>
    <w:tbl>
      <w:tblPr>
        <w:tblW w:w="5000" w:type="pct"/>
        <w:tblCellSpacing w:w="15" w:type="dxa"/>
        <w:tblCellMar>
          <w:top w:w="30" w:type="dxa"/>
          <w:left w:w="30" w:type="dxa"/>
          <w:bottom w:w="30" w:type="dxa"/>
          <w:right w:w="30" w:type="dxa"/>
        </w:tblCellMar>
        <w:tblLook w:val="04A0"/>
      </w:tblPr>
      <w:tblGrid>
        <w:gridCol w:w="420"/>
        <w:gridCol w:w="764"/>
        <w:gridCol w:w="6969"/>
        <w:gridCol w:w="96"/>
        <w:gridCol w:w="96"/>
        <w:gridCol w:w="111"/>
      </w:tblGrid>
      <w:tr w:rsidR="00BA3E11" w:rsidRPr="00BA3E11" w:rsidTr="00BA3E1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A3E11" w:rsidRPr="00BA3E11" w:rsidRDefault="00BA3E11" w:rsidP="00BA3E11">
            <w:pPr>
              <w:widowControl/>
              <w:jc w:val="left"/>
              <w:rPr>
                <w:rFonts w:ascii="Segoe UI" w:eastAsia="宋体" w:hAnsi="Segoe UI" w:cs="Segoe UI"/>
                <w:b/>
                <w:bCs/>
                <w:color w:val="000000"/>
                <w:kern w:val="0"/>
                <w:sz w:val="18"/>
                <w:szCs w:val="18"/>
              </w:rPr>
            </w:pPr>
            <w:r w:rsidRPr="00BA3E11">
              <w:rPr>
                <w:rFonts w:ascii="Segoe UI" w:eastAsia="宋体" w:hAnsi="Segoe UI" w:cs="Segoe UI"/>
                <w:b/>
                <w:bCs/>
                <w:color w:val="000000"/>
                <w:kern w:val="0"/>
                <w:sz w:val="18"/>
                <w:szCs w:val="18"/>
              </w:rPr>
              <w:t>16</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xml:space="preserve">Assume that the real risk-free rate of return is 3 percent and that the expected inflation premium is 5 percent. If the risk premium incorporates default risk, liquidity risk, and any maturity premium, an observed (nominal) interest rate of 12 percent implies that the risk premium is </w:t>
            </w:r>
            <w:r w:rsidRPr="00BA3E11">
              <w:rPr>
                <w:rFonts w:ascii="Segoe UI" w:eastAsia="宋体" w:hAnsi="Segoe UI" w:cs="Segoe UI"/>
                <w:i/>
                <w:iCs/>
                <w:color w:val="333333"/>
                <w:kern w:val="0"/>
                <w:sz w:val="18"/>
                <w:szCs w:val="18"/>
              </w:rPr>
              <w:t>closest</w:t>
            </w:r>
            <w:r w:rsidRPr="00BA3E11">
              <w:rPr>
                <w:rFonts w:ascii="Segoe UI" w:eastAsia="宋体" w:hAnsi="Segoe UI" w:cs="Segoe UI"/>
                <w:color w:val="333333"/>
                <w:kern w:val="0"/>
                <w:sz w:val="18"/>
                <w:szCs w:val="18"/>
              </w:rPr>
              <w:t xml:space="preserve"> to:</w:t>
            </w: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189" type="#_x0000_t75" style="width:20.25pt;height:15.75pt" o:ole="">
                  <v:imagedata r:id="rId7" o:title=""/>
                </v:shape>
                <w:control r:id="rId54" w:name="DefaultOcxName35" w:shapeid="_x0000_i118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A.</w:t>
            </w:r>
            <w:r w:rsidRPr="00BA3E11">
              <w:rPr>
                <w:rFonts w:ascii="Segoe UI" w:eastAsia="宋体" w:hAnsi="Segoe UI" w:cs="Segoe UI"/>
                <w:color w:val="000000"/>
                <w:kern w:val="0"/>
                <w:sz w:val="18"/>
                <w:szCs w:val="18"/>
              </w:rPr>
              <w:t xml:space="preserve"> 2%.</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188" type="#_x0000_t75" style="width:20.25pt;height:15.75pt" o:ole="">
                  <v:imagedata r:id="rId9" o:title=""/>
                </v:shape>
                <w:control r:id="rId55" w:name="DefaultOcxName115" w:shapeid="_x0000_i118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B.</w:t>
            </w:r>
            <w:r w:rsidRPr="00BA3E11">
              <w:rPr>
                <w:rFonts w:ascii="Segoe UI" w:eastAsia="宋体" w:hAnsi="Segoe UI" w:cs="Segoe UI"/>
                <w:color w:val="000000"/>
                <w:kern w:val="0"/>
                <w:sz w:val="18"/>
                <w:szCs w:val="18"/>
              </w:rPr>
              <w:t xml:space="preserve"> 4%.</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187" type="#_x0000_t75" style="width:20.25pt;height:15.75pt" o:ole="">
                  <v:imagedata r:id="rId9" o:title=""/>
                </v:shape>
                <w:control r:id="rId56" w:name="DefaultOcxName215" w:shapeid="_x0000_i118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C.</w:t>
            </w:r>
            <w:r w:rsidRPr="00BA3E11">
              <w:rPr>
                <w:rFonts w:ascii="Segoe UI" w:eastAsia="宋体" w:hAnsi="Segoe UI" w:cs="Segoe UI"/>
                <w:color w:val="000000"/>
                <w:kern w:val="0"/>
                <w:sz w:val="18"/>
                <w:szCs w:val="18"/>
              </w:rPr>
              <w:t xml:space="preserve"> 8%.</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noWrap/>
            <w:vAlign w:val="center"/>
            <w:hideMark/>
          </w:tcPr>
          <w:p w:rsidR="00BA3E11" w:rsidRPr="00BA3E11" w:rsidRDefault="00BA3E11" w:rsidP="00BA3E11">
            <w:pPr>
              <w:widowControl/>
              <w:jc w:val="center"/>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0" w:type="auto"/>
            <w:gridSpan w:val="5"/>
            <w:shd w:val="clear" w:color="auto" w:fill="FF6347"/>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b/>
                <w:bCs/>
                <w:color w:val="000080"/>
                <w:kern w:val="0"/>
                <w:sz w:val="16"/>
                <w:szCs w:val="16"/>
              </w:rPr>
              <w:t>Feedback:</w:t>
            </w:r>
            <w:r w:rsidRPr="00BA3E11">
              <w:rPr>
                <w:rFonts w:ascii="Segoe UI" w:eastAsia="宋体" w:hAnsi="Segoe UI" w:cs="Segoe UI"/>
                <w:color w:val="333333"/>
                <w:kern w:val="0"/>
                <w:sz w:val="18"/>
                <w:szCs w:val="18"/>
              </w:rPr>
              <w:t xml:space="preserve"> You have answered incorrectly.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Correct answer: </w:t>
            </w:r>
            <w:r w:rsidRPr="00BA3E11">
              <w:rPr>
                <w:rFonts w:ascii="Segoe UI" w:eastAsia="宋体" w:hAnsi="Segoe UI" w:cs="Segoe UI"/>
                <w:b/>
                <w:bCs/>
                <w:color w:val="333333"/>
                <w:kern w:val="0"/>
                <w:sz w:val="18"/>
                <w:szCs w:val="18"/>
              </w:rPr>
              <w:t>B</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"The Time Value of Money," Richard A. </w:t>
            </w:r>
            <w:proofErr w:type="spellStart"/>
            <w:r w:rsidRPr="00BA3E11">
              <w:rPr>
                <w:rFonts w:ascii="Segoe UI" w:eastAsia="宋体" w:hAnsi="Segoe UI" w:cs="Segoe UI"/>
                <w:color w:val="333333"/>
                <w:kern w:val="0"/>
                <w:sz w:val="18"/>
                <w:szCs w:val="18"/>
              </w:rPr>
              <w:t>DeFusco</w:t>
            </w:r>
            <w:proofErr w:type="spellEnd"/>
            <w:r w:rsidRPr="00BA3E11">
              <w:rPr>
                <w:rFonts w:ascii="Segoe UI" w:eastAsia="宋体" w:hAnsi="Segoe UI" w:cs="Segoe UI"/>
                <w:color w:val="333333"/>
                <w:kern w:val="0"/>
                <w:sz w:val="18"/>
                <w:szCs w:val="18"/>
              </w:rPr>
              <w:t xml:space="preserve">, CFA, Dennis W. </w:t>
            </w:r>
            <w:proofErr w:type="spellStart"/>
            <w:r w:rsidRPr="00BA3E11">
              <w:rPr>
                <w:rFonts w:ascii="Segoe UI" w:eastAsia="宋体" w:hAnsi="Segoe UI" w:cs="Segoe UI"/>
                <w:color w:val="333333"/>
                <w:kern w:val="0"/>
                <w:sz w:val="18"/>
                <w:szCs w:val="18"/>
              </w:rPr>
              <w:t>McLeavey</w:t>
            </w:r>
            <w:proofErr w:type="spellEnd"/>
            <w:r w:rsidRPr="00BA3E11">
              <w:rPr>
                <w:rFonts w:ascii="Segoe UI" w:eastAsia="宋体" w:hAnsi="Segoe UI" w:cs="Segoe UI"/>
                <w:color w:val="333333"/>
                <w:kern w:val="0"/>
                <w:sz w:val="18"/>
                <w:szCs w:val="18"/>
              </w:rPr>
              <w:t xml:space="preserve">, CFA, Jerald E. Pinto, CFA, and David E. </w:t>
            </w:r>
            <w:proofErr w:type="spellStart"/>
            <w:r w:rsidRPr="00BA3E11">
              <w:rPr>
                <w:rFonts w:ascii="Segoe UI" w:eastAsia="宋体" w:hAnsi="Segoe UI" w:cs="Segoe UI"/>
                <w:color w:val="333333"/>
                <w:kern w:val="0"/>
                <w:sz w:val="18"/>
                <w:szCs w:val="18"/>
              </w:rPr>
              <w:t>Runkle</w:t>
            </w:r>
            <w:proofErr w:type="spellEnd"/>
            <w:r w:rsidRPr="00BA3E11">
              <w:rPr>
                <w:rFonts w:ascii="Segoe UI" w:eastAsia="宋体" w:hAnsi="Segoe UI" w:cs="Segoe UI"/>
                <w:color w:val="333333"/>
                <w:kern w:val="0"/>
                <w:sz w:val="18"/>
                <w:szCs w:val="18"/>
              </w:rPr>
              <w:t>, CFA</w:t>
            </w:r>
            <w:r w:rsidRPr="00BA3E11">
              <w:rPr>
                <w:rFonts w:ascii="Segoe UI" w:eastAsia="宋体" w:hAnsi="Segoe UI" w:cs="Segoe UI"/>
                <w:color w:val="333333"/>
                <w:kern w:val="0"/>
                <w:sz w:val="18"/>
                <w:szCs w:val="18"/>
              </w:rPr>
              <w:br/>
              <w:t>2011 Modular Level I, Vol. 1, pp. 256–258</w:t>
            </w:r>
            <w:r w:rsidRPr="00BA3E11">
              <w:rPr>
                <w:rFonts w:ascii="Segoe UI" w:eastAsia="宋体" w:hAnsi="Segoe UI" w:cs="Segoe UI"/>
                <w:color w:val="333333"/>
                <w:kern w:val="0"/>
                <w:sz w:val="18"/>
                <w:szCs w:val="18"/>
              </w:rPr>
              <w:br/>
              <w:t>Study Session 2–5–b</w:t>
            </w:r>
            <w:r w:rsidRPr="00BA3E11">
              <w:rPr>
                <w:rFonts w:ascii="Segoe UI" w:eastAsia="宋体" w:hAnsi="Segoe UI" w:cs="Segoe UI"/>
                <w:color w:val="333333"/>
                <w:kern w:val="0"/>
                <w:sz w:val="18"/>
                <w:szCs w:val="18"/>
              </w:rPr>
              <w:br/>
              <w:t>Explain an interest rate as the sum of a real risk-free rate, expected inflation, and premiums that compensate investors for distinct types of risk.</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The nominal rate is equal to the real risk-free rate of return plus an inflation premium plus risk premiums (default, liquidity, maturity preference). In this case, 12 = 3 + 5 + X. Solve for X. X = 4. </w:t>
            </w:r>
          </w:p>
        </w:tc>
      </w:tr>
    </w:tbl>
    <w:p w:rsidR="00BA3E11" w:rsidRDefault="00BA3E11">
      <w:pPr>
        <w:rPr>
          <w:rFonts w:hint="eastAsia"/>
        </w:rPr>
      </w:pPr>
    </w:p>
    <w:tbl>
      <w:tblPr>
        <w:tblW w:w="5000" w:type="pct"/>
        <w:tblCellSpacing w:w="15" w:type="dxa"/>
        <w:tblCellMar>
          <w:top w:w="30" w:type="dxa"/>
          <w:left w:w="30" w:type="dxa"/>
          <w:bottom w:w="30" w:type="dxa"/>
          <w:right w:w="30" w:type="dxa"/>
        </w:tblCellMar>
        <w:tblLook w:val="04A0"/>
      </w:tblPr>
      <w:tblGrid>
        <w:gridCol w:w="420"/>
        <w:gridCol w:w="532"/>
        <w:gridCol w:w="7201"/>
        <w:gridCol w:w="96"/>
        <w:gridCol w:w="96"/>
        <w:gridCol w:w="111"/>
      </w:tblGrid>
      <w:tr w:rsidR="00BA3E11" w:rsidRPr="00BA3E11" w:rsidTr="00BA3E1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A3E11" w:rsidRPr="00BA3E11" w:rsidRDefault="00BA3E11" w:rsidP="00BA3E11">
            <w:pPr>
              <w:widowControl/>
              <w:jc w:val="left"/>
              <w:rPr>
                <w:rFonts w:ascii="Segoe UI" w:eastAsia="宋体" w:hAnsi="Segoe UI" w:cs="Segoe UI"/>
                <w:b/>
                <w:bCs/>
                <w:color w:val="000000"/>
                <w:kern w:val="0"/>
                <w:sz w:val="18"/>
                <w:szCs w:val="18"/>
              </w:rPr>
            </w:pPr>
            <w:r w:rsidRPr="00BA3E11">
              <w:rPr>
                <w:rFonts w:ascii="Segoe UI" w:eastAsia="宋体" w:hAnsi="Segoe UI" w:cs="Segoe UI"/>
                <w:b/>
                <w:bCs/>
                <w:color w:val="000000"/>
                <w:kern w:val="0"/>
                <w:sz w:val="18"/>
                <w:szCs w:val="18"/>
              </w:rPr>
              <w:t>17</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xml:space="preserve">Which of the following government interventions in market forces is </w:t>
            </w:r>
            <w:r w:rsidRPr="00BA3E11">
              <w:rPr>
                <w:rFonts w:ascii="Segoe UI" w:eastAsia="宋体" w:hAnsi="Segoe UI" w:cs="Segoe UI"/>
                <w:i/>
                <w:iCs/>
                <w:color w:val="333333"/>
                <w:kern w:val="0"/>
                <w:sz w:val="18"/>
                <w:szCs w:val="18"/>
              </w:rPr>
              <w:t>most likely</w:t>
            </w:r>
            <w:r w:rsidRPr="00BA3E11">
              <w:rPr>
                <w:rFonts w:ascii="Segoe UI" w:eastAsia="宋体" w:hAnsi="Segoe UI" w:cs="Segoe UI"/>
                <w:color w:val="333333"/>
                <w:kern w:val="0"/>
                <w:sz w:val="18"/>
                <w:szCs w:val="18"/>
              </w:rPr>
              <w:t xml:space="preserve"> to cause underproduction?</w:t>
            </w: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198" type="#_x0000_t75" style="width:20.25pt;height:15.75pt" o:ole="">
                  <v:imagedata r:id="rId7" o:title=""/>
                </v:shape>
                <w:control r:id="rId57" w:name="DefaultOcxName36" w:shapeid="_x0000_i119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A.</w:t>
            </w:r>
            <w:r w:rsidRPr="00BA3E11">
              <w:rPr>
                <w:rFonts w:ascii="Segoe UI" w:eastAsia="宋体" w:hAnsi="Segoe UI" w:cs="Segoe UI"/>
                <w:color w:val="000000"/>
                <w:kern w:val="0"/>
                <w:sz w:val="18"/>
                <w:szCs w:val="18"/>
              </w:rPr>
              <w:t xml:space="preserve"> Subsidies</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197" type="#_x0000_t75" style="width:20.25pt;height:15.75pt" o:ole="">
                  <v:imagedata r:id="rId9" o:title=""/>
                </v:shape>
                <w:control r:id="rId58" w:name="DefaultOcxName116" w:shapeid="_x0000_i119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B.</w:t>
            </w:r>
            <w:r w:rsidRPr="00BA3E11">
              <w:rPr>
                <w:rFonts w:ascii="Segoe UI" w:eastAsia="宋体" w:hAnsi="Segoe UI" w:cs="Segoe UI"/>
                <w:color w:val="000000"/>
                <w:kern w:val="0"/>
                <w:sz w:val="18"/>
                <w:szCs w:val="18"/>
              </w:rPr>
              <w:t xml:space="preserve"> Price floors</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196" type="#_x0000_t75" style="width:20.25pt;height:15.75pt" o:ole="">
                  <v:imagedata r:id="rId9" o:title=""/>
                </v:shape>
                <w:control r:id="rId59" w:name="DefaultOcxName216" w:shapeid="_x0000_i119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C.</w:t>
            </w:r>
            <w:r w:rsidRPr="00BA3E11">
              <w:rPr>
                <w:rFonts w:ascii="Segoe UI" w:eastAsia="宋体" w:hAnsi="Segoe UI" w:cs="Segoe UI"/>
                <w:color w:val="000000"/>
                <w:kern w:val="0"/>
                <w:sz w:val="18"/>
                <w:szCs w:val="18"/>
              </w:rPr>
              <w:t xml:space="preserve"> Production quotas</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noWrap/>
            <w:vAlign w:val="center"/>
            <w:hideMark/>
          </w:tcPr>
          <w:p w:rsidR="00BA3E11" w:rsidRPr="00BA3E11" w:rsidRDefault="00BA3E11" w:rsidP="00BA3E11">
            <w:pPr>
              <w:widowControl/>
              <w:jc w:val="center"/>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lastRenderedPageBreak/>
              <w:t> </w:t>
            </w:r>
          </w:p>
        </w:tc>
        <w:tc>
          <w:tcPr>
            <w:tcW w:w="0" w:type="auto"/>
            <w:gridSpan w:val="5"/>
            <w:shd w:val="clear" w:color="auto" w:fill="FF6347"/>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b/>
                <w:bCs/>
                <w:color w:val="000080"/>
                <w:kern w:val="0"/>
                <w:sz w:val="16"/>
                <w:szCs w:val="16"/>
              </w:rPr>
              <w:t>Feedback:</w:t>
            </w:r>
            <w:r w:rsidRPr="00BA3E11">
              <w:rPr>
                <w:rFonts w:ascii="Segoe UI" w:eastAsia="宋体" w:hAnsi="Segoe UI" w:cs="Segoe UI"/>
                <w:color w:val="333333"/>
                <w:kern w:val="0"/>
                <w:sz w:val="18"/>
                <w:szCs w:val="18"/>
              </w:rPr>
              <w:t xml:space="preserve"> You have answered incorrectly.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Correct answer: </w:t>
            </w:r>
            <w:r w:rsidRPr="00BA3E11">
              <w:rPr>
                <w:rFonts w:ascii="Segoe UI" w:eastAsia="宋体" w:hAnsi="Segoe UI" w:cs="Segoe UI"/>
                <w:b/>
                <w:bCs/>
                <w:color w:val="333333"/>
                <w:kern w:val="0"/>
                <w:sz w:val="18"/>
                <w:szCs w:val="18"/>
              </w:rPr>
              <w:t>C</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"Markets in Action," Michael </w:t>
            </w:r>
            <w:proofErr w:type="spellStart"/>
            <w:r w:rsidRPr="00BA3E11">
              <w:rPr>
                <w:rFonts w:ascii="Segoe UI" w:eastAsia="宋体" w:hAnsi="Segoe UI" w:cs="Segoe UI"/>
                <w:color w:val="333333"/>
                <w:kern w:val="0"/>
                <w:sz w:val="18"/>
                <w:szCs w:val="18"/>
              </w:rPr>
              <w:t>Parkin</w:t>
            </w:r>
            <w:proofErr w:type="spellEnd"/>
            <w:r w:rsidRPr="00BA3E11">
              <w:rPr>
                <w:rFonts w:ascii="Segoe UI" w:eastAsia="宋体" w:hAnsi="Segoe UI" w:cs="Segoe UI"/>
                <w:color w:val="333333"/>
                <w:kern w:val="0"/>
                <w:sz w:val="18"/>
                <w:szCs w:val="18"/>
              </w:rPr>
              <w:br/>
              <w:t>2011 Modular Level I, Vol. 2, pp. 87–89</w:t>
            </w:r>
            <w:r w:rsidRPr="00BA3E11">
              <w:rPr>
                <w:rFonts w:ascii="Segoe UI" w:eastAsia="宋体" w:hAnsi="Segoe UI" w:cs="Segoe UI"/>
                <w:color w:val="333333"/>
                <w:kern w:val="0"/>
                <w:sz w:val="18"/>
                <w:szCs w:val="18"/>
              </w:rPr>
              <w:br/>
              <w:t>Study Session 4–15–d</w:t>
            </w:r>
            <w:r w:rsidRPr="00BA3E11">
              <w:rPr>
                <w:rFonts w:ascii="Segoe UI" w:eastAsia="宋体" w:hAnsi="Segoe UI" w:cs="Segoe UI"/>
                <w:color w:val="333333"/>
                <w:kern w:val="0"/>
                <w:sz w:val="18"/>
                <w:szCs w:val="18"/>
              </w:rPr>
              <w:br/>
              <w:t>Discuss the impact of subsidies, quotas, and markets for illegal goods on demand, supply, and market equilibrium.</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Production quotas are most likely to result in underproduction. </w:t>
            </w:r>
          </w:p>
        </w:tc>
      </w:tr>
    </w:tbl>
    <w:p w:rsidR="00BA3E11" w:rsidRDefault="00BA3E11">
      <w:pPr>
        <w:rPr>
          <w:rFonts w:hint="eastAsia"/>
        </w:rPr>
      </w:pPr>
    </w:p>
    <w:tbl>
      <w:tblPr>
        <w:tblW w:w="5000" w:type="pct"/>
        <w:tblCellSpacing w:w="15" w:type="dxa"/>
        <w:tblCellMar>
          <w:top w:w="30" w:type="dxa"/>
          <w:left w:w="30" w:type="dxa"/>
          <w:bottom w:w="30" w:type="dxa"/>
          <w:right w:w="30" w:type="dxa"/>
        </w:tblCellMar>
        <w:tblLook w:val="04A0"/>
      </w:tblPr>
      <w:tblGrid>
        <w:gridCol w:w="420"/>
        <w:gridCol w:w="673"/>
        <w:gridCol w:w="7060"/>
        <w:gridCol w:w="96"/>
        <w:gridCol w:w="96"/>
        <w:gridCol w:w="111"/>
      </w:tblGrid>
      <w:tr w:rsidR="00BA3E11" w:rsidRPr="00BA3E11" w:rsidTr="00BA3E1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A3E11" w:rsidRPr="00BA3E11" w:rsidRDefault="00BA3E11" w:rsidP="00BA3E11">
            <w:pPr>
              <w:widowControl/>
              <w:jc w:val="left"/>
              <w:rPr>
                <w:rFonts w:ascii="Segoe UI" w:eastAsia="宋体" w:hAnsi="Segoe UI" w:cs="Segoe UI"/>
                <w:b/>
                <w:bCs/>
                <w:color w:val="000000"/>
                <w:kern w:val="0"/>
                <w:sz w:val="18"/>
                <w:szCs w:val="18"/>
              </w:rPr>
            </w:pPr>
            <w:r w:rsidRPr="00BA3E11">
              <w:rPr>
                <w:rFonts w:ascii="Segoe UI" w:eastAsia="宋体" w:hAnsi="Segoe UI" w:cs="Segoe UI"/>
                <w:b/>
                <w:bCs/>
                <w:color w:val="000000"/>
                <w:kern w:val="0"/>
                <w:sz w:val="18"/>
                <w:szCs w:val="18"/>
              </w:rPr>
              <w:t>18</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xml:space="preserve">Demand for a good is </w:t>
            </w:r>
            <w:r w:rsidRPr="00BA3E11">
              <w:rPr>
                <w:rFonts w:ascii="Segoe UI" w:eastAsia="宋体" w:hAnsi="Segoe UI" w:cs="Segoe UI"/>
                <w:i/>
                <w:iCs/>
                <w:color w:val="333333"/>
                <w:kern w:val="0"/>
                <w:sz w:val="18"/>
                <w:szCs w:val="18"/>
              </w:rPr>
              <w:t>most likely</w:t>
            </w:r>
            <w:r w:rsidRPr="00BA3E11">
              <w:rPr>
                <w:rFonts w:ascii="Segoe UI" w:eastAsia="宋体" w:hAnsi="Segoe UI" w:cs="Segoe UI"/>
                <w:color w:val="333333"/>
                <w:kern w:val="0"/>
                <w:sz w:val="18"/>
                <w:szCs w:val="18"/>
              </w:rPr>
              <w:t xml:space="preserve"> to be more elastic when:</w:t>
            </w: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07" type="#_x0000_t75" style="width:20.25pt;height:15.75pt" o:ole="">
                  <v:imagedata r:id="rId7" o:title=""/>
                </v:shape>
                <w:control r:id="rId60" w:name="DefaultOcxName37" w:shapeid="_x0000_i120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A.</w:t>
            </w:r>
            <w:r w:rsidRPr="00BA3E11">
              <w:rPr>
                <w:rFonts w:ascii="Segoe UI" w:eastAsia="宋体" w:hAnsi="Segoe UI" w:cs="Segoe UI"/>
                <w:color w:val="000000"/>
                <w:kern w:val="0"/>
                <w:sz w:val="18"/>
                <w:szCs w:val="18"/>
              </w:rPr>
              <w:t xml:space="preserve"> the good is a necessity.</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06" type="#_x0000_t75" style="width:20.25pt;height:15.75pt" o:ole="">
                  <v:imagedata r:id="rId9" o:title=""/>
                </v:shape>
                <w:control r:id="rId61" w:name="DefaultOcxName117" w:shapeid="_x0000_i120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B.</w:t>
            </w:r>
            <w:r w:rsidRPr="00BA3E11">
              <w:rPr>
                <w:rFonts w:ascii="Segoe UI" w:eastAsia="宋体" w:hAnsi="Segoe UI" w:cs="Segoe UI"/>
                <w:color w:val="000000"/>
                <w:kern w:val="0"/>
                <w:sz w:val="18"/>
                <w:szCs w:val="18"/>
              </w:rPr>
              <w:t xml:space="preserve"> a lesser proportion of income is spent on the good.</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05" type="#_x0000_t75" style="width:20.25pt;height:15.75pt" o:ole="">
                  <v:imagedata r:id="rId9" o:title=""/>
                </v:shape>
                <w:control r:id="rId62" w:name="DefaultOcxName217" w:shapeid="_x0000_i120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C.</w:t>
            </w:r>
            <w:r w:rsidRPr="00BA3E11">
              <w:rPr>
                <w:rFonts w:ascii="Segoe UI" w:eastAsia="宋体" w:hAnsi="Segoe UI" w:cs="Segoe UI"/>
                <w:color w:val="000000"/>
                <w:kern w:val="0"/>
                <w:sz w:val="18"/>
                <w:szCs w:val="18"/>
              </w:rPr>
              <w:t xml:space="preserve"> there has been a longer time since the price change.</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noWrap/>
            <w:vAlign w:val="center"/>
            <w:hideMark/>
          </w:tcPr>
          <w:p w:rsidR="00BA3E11" w:rsidRPr="00BA3E11" w:rsidRDefault="00BA3E11" w:rsidP="00BA3E11">
            <w:pPr>
              <w:widowControl/>
              <w:jc w:val="center"/>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0" w:type="auto"/>
            <w:gridSpan w:val="5"/>
            <w:shd w:val="clear" w:color="auto" w:fill="FF6347"/>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b/>
                <w:bCs/>
                <w:color w:val="000080"/>
                <w:kern w:val="0"/>
                <w:sz w:val="16"/>
                <w:szCs w:val="16"/>
              </w:rPr>
              <w:t>Feedback:</w:t>
            </w:r>
            <w:r w:rsidRPr="00BA3E11">
              <w:rPr>
                <w:rFonts w:ascii="Segoe UI" w:eastAsia="宋体" w:hAnsi="Segoe UI" w:cs="Segoe UI"/>
                <w:color w:val="333333"/>
                <w:kern w:val="0"/>
                <w:sz w:val="18"/>
                <w:szCs w:val="18"/>
              </w:rPr>
              <w:t xml:space="preserve"> You have answered incorrectly.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Correct answer: </w:t>
            </w:r>
            <w:r w:rsidRPr="00BA3E11">
              <w:rPr>
                <w:rFonts w:ascii="Segoe UI" w:eastAsia="宋体" w:hAnsi="Segoe UI" w:cs="Segoe UI"/>
                <w:b/>
                <w:bCs/>
                <w:color w:val="333333"/>
                <w:kern w:val="0"/>
                <w:sz w:val="18"/>
                <w:szCs w:val="18"/>
              </w:rPr>
              <w:t>C</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"Elasticity," Michael </w:t>
            </w:r>
            <w:proofErr w:type="spellStart"/>
            <w:r w:rsidRPr="00BA3E11">
              <w:rPr>
                <w:rFonts w:ascii="Segoe UI" w:eastAsia="宋体" w:hAnsi="Segoe UI" w:cs="Segoe UI"/>
                <w:color w:val="333333"/>
                <w:kern w:val="0"/>
                <w:sz w:val="18"/>
                <w:szCs w:val="18"/>
              </w:rPr>
              <w:t>Parkin</w:t>
            </w:r>
            <w:proofErr w:type="spellEnd"/>
            <w:r w:rsidRPr="00BA3E11">
              <w:rPr>
                <w:rFonts w:ascii="Segoe UI" w:eastAsia="宋体" w:hAnsi="Segoe UI" w:cs="Segoe UI"/>
                <w:color w:val="333333"/>
                <w:kern w:val="0"/>
                <w:sz w:val="18"/>
                <w:szCs w:val="18"/>
              </w:rPr>
              <w:br/>
              <w:t>2011 Modular Level I, Vol. 2, pp. 16–18</w:t>
            </w:r>
            <w:r w:rsidRPr="00BA3E11">
              <w:rPr>
                <w:rFonts w:ascii="Segoe UI" w:eastAsia="宋体" w:hAnsi="Segoe UI" w:cs="Segoe UI"/>
                <w:color w:val="333333"/>
                <w:kern w:val="0"/>
                <w:sz w:val="18"/>
                <w:szCs w:val="18"/>
              </w:rPr>
              <w:br/>
              <w:t>Study Session 4–13–a</w:t>
            </w:r>
            <w:r w:rsidRPr="00BA3E11">
              <w:rPr>
                <w:rFonts w:ascii="Segoe UI" w:eastAsia="宋体" w:hAnsi="Segoe UI" w:cs="Segoe UI"/>
                <w:color w:val="333333"/>
                <w:kern w:val="0"/>
                <w:sz w:val="18"/>
                <w:szCs w:val="18"/>
              </w:rPr>
              <w:br/>
              <w:t xml:space="preserve">Calculate and interpret the </w:t>
            </w:r>
            <w:proofErr w:type="spellStart"/>
            <w:r w:rsidRPr="00BA3E11">
              <w:rPr>
                <w:rFonts w:ascii="Segoe UI" w:eastAsia="宋体" w:hAnsi="Segoe UI" w:cs="Segoe UI"/>
                <w:color w:val="333333"/>
                <w:kern w:val="0"/>
                <w:sz w:val="18"/>
                <w:szCs w:val="18"/>
              </w:rPr>
              <w:t>elasticities</w:t>
            </w:r>
            <w:proofErr w:type="spellEnd"/>
            <w:r w:rsidRPr="00BA3E11">
              <w:rPr>
                <w:rFonts w:ascii="Segoe UI" w:eastAsia="宋体" w:hAnsi="Segoe UI" w:cs="Segoe UI"/>
                <w:color w:val="333333"/>
                <w:kern w:val="0"/>
                <w:sz w:val="18"/>
                <w:szCs w:val="18"/>
              </w:rPr>
              <w:t xml:space="preserve"> of demand (price elasticity, cross elasticity, and income elasticity) and the elasticity of supply, and discuss the factors that influence each measure.</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The longer the time that has elapsed since a price change, the more elastic is demand. </w:t>
            </w:r>
          </w:p>
        </w:tc>
      </w:tr>
    </w:tbl>
    <w:p w:rsidR="00BA3E11" w:rsidRDefault="00BA3E11">
      <w:pPr>
        <w:rPr>
          <w:rFonts w:hint="eastAsia"/>
        </w:rPr>
      </w:pPr>
    </w:p>
    <w:tbl>
      <w:tblPr>
        <w:tblW w:w="5000" w:type="pct"/>
        <w:tblCellSpacing w:w="15" w:type="dxa"/>
        <w:tblCellMar>
          <w:top w:w="30" w:type="dxa"/>
          <w:left w:w="30" w:type="dxa"/>
          <w:bottom w:w="30" w:type="dxa"/>
          <w:right w:w="30" w:type="dxa"/>
        </w:tblCellMar>
        <w:tblLook w:val="04A0"/>
      </w:tblPr>
      <w:tblGrid>
        <w:gridCol w:w="420"/>
        <w:gridCol w:w="715"/>
        <w:gridCol w:w="7018"/>
        <w:gridCol w:w="96"/>
        <w:gridCol w:w="96"/>
        <w:gridCol w:w="111"/>
      </w:tblGrid>
      <w:tr w:rsidR="00BA3E11" w:rsidRPr="00BA3E11" w:rsidTr="00BA3E1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A3E11" w:rsidRPr="00BA3E11" w:rsidRDefault="00BA3E11" w:rsidP="00BA3E11">
            <w:pPr>
              <w:widowControl/>
              <w:jc w:val="left"/>
              <w:rPr>
                <w:rFonts w:ascii="Segoe UI" w:eastAsia="宋体" w:hAnsi="Segoe UI" w:cs="Segoe UI"/>
                <w:b/>
                <w:bCs/>
                <w:color w:val="000000"/>
                <w:kern w:val="0"/>
                <w:sz w:val="18"/>
                <w:szCs w:val="18"/>
              </w:rPr>
            </w:pPr>
            <w:r w:rsidRPr="00BA3E11">
              <w:rPr>
                <w:rFonts w:ascii="Segoe UI" w:eastAsia="宋体" w:hAnsi="Segoe UI" w:cs="Segoe UI"/>
                <w:b/>
                <w:bCs/>
                <w:color w:val="000000"/>
                <w:kern w:val="0"/>
                <w:sz w:val="18"/>
                <w:szCs w:val="18"/>
              </w:rPr>
              <w:t>19</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xml:space="preserve">If the currency drain ratio is 1.05 and the desired reserve ratio is 0.20, the money multiplier is </w:t>
            </w:r>
            <w:r w:rsidRPr="00BA3E11">
              <w:rPr>
                <w:rFonts w:ascii="Segoe UI" w:eastAsia="宋体" w:hAnsi="Segoe UI" w:cs="Segoe UI"/>
                <w:i/>
                <w:iCs/>
                <w:color w:val="333333"/>
                <w:kern w:val="0"/>
                <w:sz w:val="18"/>
                <w:szCs w:val="18"/>
              </w:rPr>
              <w:t>closest</w:t>
            </w:r>
            <w:r w:rsidRPr="00BA3E11">
              <w:rPr>
                <w:rFonts w:ascii="Segoe UI" w:eastAsia="宋体" w:hAnsi="Segoe UI" w:cs="Segoe UI"/>
                <w:color w:val="333333"/>
                <w:kern w:val="0"/>
                <w:sz w:val="18"/>
                <w:szCs w:val="18"/>
              </w:rPr>
              <w:t xml:space="preserve"> to:</w:t>
            </w: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16" type="#_x0000_t75" style="width:20.25pt;height:15.75pt" o:ole="">
                  <v:imagedata r:id="rId7" o:title=""/>
                </v:shape>
                <w:control r:id="rId63" w:name="DefaultOcxName38" w:shapeid="_x0000_i121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A.</w:t>
            </w:r>
            <w:r w:rsidRPr="00BA3E11">
              <w:rPr>
                <w:rFonts w:ascii="Segoe UI" w:eastAsia="宋体" w:hAnsi="Segoe UI" w:cs="Segoe UI"/>
                <w:color w:val="000000"/>
                <w:kern w:val="0"/>
                <w:sz w:val="18"/>
                <w:szCs w:val="18"/>
              </w:rPr>
              <w:t xml:space="preserve"> 1.26.</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15" type="#_x0000_t75" style="width:20.25pt;height:15.75pt" o:ole="">
                  <v:imagedata r:id="rId9" o:title=""/>
                </v:shape>
                <w:control r:id="rId64" w:name="DefaultOcxName118" w:shapeid="_x0000_i121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B.</w:t>
            </w:r>
            <w:r w:rsidRPr="00BA3E11">
              <w:rPr>
                <w:rFonts w:ascii="Segoe UI" w:eastAsia="宋体" w:hAnsi="Segoe UI" w:cs="Segoe UI"/>
                <w:color w:val="000000"/>
                <w:kern w:val="0"/>
                <w:sz w:val="18"/>
                <w:szCs w:val="18"/>
              </w:rPr>
              <w:t xml:space="preserve"> 1.64</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14" type="#_x0000_t75" style="width:20.25pt;height:15.75pt" o:ole="">
                  <v:imagedata r:id="rId9" o:title=""/>
                </v:shape>
                <w:control r:id="rId65" w:name="DefaultOcxName218" w:shapeid="_x0000_i121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C.</w:t>
            </w:r>
            <w:r w:rsidRPr="00BA3E11">
              <w:rPr>
                <w:rFonts w:ascii="Segoe UI" w:eastAsia="宋体" w:hAnsi="Segoe UI" w:cs="Segoe UI"/>
                <w:color w:val="000000"/>
                <w:kern w:val="0"/>
                <w:sz w:val="18"/>
                <w:szCs w:val="18"/>
              </w:rPr>
              <w:t xml:space="preserve"> 5.25.</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noWrap/>
            <w:vAlign w:val="center"/>
            <w:hideMark/>
          </w:tcPr>
          <w:p w:rsidR="00BA3E11" w:rsidRPr="00BA3E11" w:rsidRDefault="00BA3E11" w:rsidP="00BA3E11">
            <w:pPr>
              <w:widowControl/>
              <w:jc w:val="center"/>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lastRenderedPageBreak/>
              <w:t> </w:t>
            </w:r>
          </w:p>
        </w:tc>
        <w:tc>
          <w:tcPr>
            <w:tcW w:w="0" w:type="auto"/>
            <w:gridSpan w:val="5"/>
            <w:shd w:val="clear" w:color="auto" w:fill="FF6347"/>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b/>
                <w:bCs/>
                <w:color w:val="000080"/>
                <w:kern w:val="0"/>
                <w:sz w:val="16"/>
                <w:szCs w:val="16"/>
              </w:rPr>
              <w:t>Feedback:</w:t>
            </w:r>
            <w:r w:rsidRPr="00BA3E11">
              <w:rPr>
                <w:rFonts w:ascii="Segoe UI" w:eastAsia="宋体" w:hAnsi="Segoe UI" w:cs="Segoe UI"/>
                <w:color w:val="333333"/>
                <w:kern w:val="0"/>
                <w:sz w:val="18"/>
                <w:szCs w:val="18"/>
              </w:rPr>
              <w:t xml:space="preserve"> You have answered incorrectly.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Correct answer: </w:t>
            </w:r>
            <w:r w:rsidRPr="00BA3E11">
              <w:rPr>
                <w:rFonts w:ascii="Segoe UI" w:eastAsia="宋体" w:hAnsi="Segoe UI" w:cs="Segoe UI"/>
                <w:b/>
                <w:bCs/>
                <w:color w:val="333333"/>
                <w:kern w:val="0"/>
                <w:sz w:val="18"/>
                <w:szCs w:val="18"/>
              </w:rPr>
              <w:t>B</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"Money, the Price Level, and Inflation," Michael </w:t>
            </w:r>
            <w:proofErr w:type="spellStart"/>
            <w:r w:rsidRPr="00BA3E11">
              <w:rPr>
                <w:rFonts w:ascii="Segoe UI" w:eastAsia="宋体" w:hAnsi="Segoe UI" w:cs="Segoe UI"/>
                <w:color w:val="333333"/>
                <w:kern w:val="0"/>
                <w:sz w:val="18"/>
                <w:szCs w:val="18"/>
              </w:rPr>
              <w:t>Parkin</w:t>
            </w:r>
            <w:proofErr w:type="spellEnd"/>
            <w:r w:rsidRPr="00BA3E11">
              <w:rPr>
                <w:rFonts w:ascii="Segoe UI" w:eastAsia="宋体" w:hAnsi="Segoe UI" w:cs="Segoe UI"/>
                <w:color w:val="333333"/>
                <w:kern w:val="0"/>
                <w:sz w:val="18"/>
                <w:szCs w:val="18"/>
              </w:rPr>
              <w:br/>
              <w:t>2011 Modular Level I, Vol. 2, p. 379</w:t>
            </w:r>
            <w:r w:rsidRPr="00BA3E11">
              <w:rPr>
                <w:rFonts w:ascii="Segoe UI" w:eastAsia="宋体" w:hAnsi="Segoe UI" w:cs="Segoe UI"/>
                <w:color w:val="333333"/>
                <w:kern w:val="0"/>
                <w:sz w:val="18"/>
                <w:szCs w:val="18"/>
              </w:rPr>
              <w:br/>
              <w:t>Study Session 6–24–f</w:t>
            </w:r>
            <w:r w:rsidRPr="00BA3E11">
              <w:rPr>
                <w:rFonts w:ascii="Segoe UI" w:eastAsia="宋体" w:hAnsi="Segoe UI" w:cs="Segoe UI"/>
                <w:color w:val="333333"/>
                <w:kern w:val="0"/>
                <w:sz w:val="18"/>
                <w:szCs w:val="18"/>
              </w:rPr>
              <w:br/>
              <w:t xml:space="preserve">Describe the monetary base and explain the relation among the monetary base, the money multiplier, and the quantity of money. </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The money multiplier is calculated as 1 plus the currency drain ratio divided by the sum of the currency drain ratio and the desired reserve ratio. In this problem, the money multiplier is (1 + 1.05) / (1.05 + 0.20) = 1.64. </w:t>
            </w:r>
          </w:p>
        </w:tc>
      </w:tr>
    </w:tbl>
    <w:p w:rsidR="00BA3E11" w:rsidRDefault="00BA3E11">
      <w:pPr>
        <w:rPr>
          <w:rFonts w:hint="eastAsia"/>
        </w:rPr>
      </w:pPr>
    </w:p>
    <w:tbl>
      <w:tblPr>
        <w:tblW w:w="5000" w:type="pct"/>
        <w:tblCellSpacing w:w="15" w:type="dxa"/>
        <w:tblCellMar>
          <w:top w:w="30" w:type="dxa"/>
          <w:left w:w="30" w:type="dxa"/>
          <w:bottom w:w="30" w:type="dxa"/>
          <w:right w:w="30" w:type="dxa"/>
        </w:tblCellMar>
        <w:tblLook w:val="04A0"/>
      </w:tblPr>
      <w:tblGrid>
        <w:gridCol w:w="420"/>
        <w:gridCol w:w="677"/>
        <w:gridCol w:w="7056"/>
        <w:gridCol w:w="96"/>
        <w:gridCol w:w="96"/>
        <w:gridCol w:w="111"/>
      </w:tblGrid>
      <w:tr w:rsidR="00BA3E11" w:rsidRPr="00BA3E11" w:rsidTr="00BA3E1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A3E11" w:rsidRPr="00BA3E11" w:rsidRDefault="00BA3E11" w:rsidP="00BA3E11">
            <w:pPr>
              <w:widowControl/>
              <w:jc w:val="left"/>
              <w:rPr>
                <w:rFonts w:ascii="Segoe UI" w:eastAsia="宋体" w:hAnsi="Segoe UI" w:cs="Segoe UI"/>
                <w:b/>
                <w:bCs/>
                <w:color w:val="000000"/>
                <w:kern w:val="0"/>
                <w:sz w:val="18"/>
                <w:szCs w:val="18"/>
              </w:rPr>
            </w:pPr>
            <w:r w:rsidRPr="00BA3E11">
              <w:rPr>
                <w:rFonts w:ascii="Segoe UI" w:eastAsia="宋体" w:hAnsi="Segoe UI" w:cs="Segoe UI"/>
                <w:b/>
                <w:bCs/>
                <w:color w:val="000000"/>
                <w:kern w:val="0"/>
                <w:sz w:val="18"/>
                <w:szCs w:val="18"/>
              </w:rPr>
              <w:t>20</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xml:space="preserve">An economy in which all firms and individuals, whether suppliers or consumers, accept the market price as their transaction price is </w:t>
            </w:r>
            <w:r w:rsidRPr="00BA3E11">
              <w:rPr>
                <w:rFonts w:ascii="Segoe UI" w:eastAsia="宋体" w:hAnsi="Segoe UI" w:cs="Segoe UI"/>
                <w:i/>
                <w:iCs/>
                <w:color w:val="333333"/>
                <w:kern w:val="0"/>
                <w:sz w:val="18"/>
                <w:szCs w:val="18"/>
              </w:rPr>
              <w:t>best</w:t>
            </w:r>
            <w:r w:rsidRPr="00BA3E11">
              <w:rPr>
                <w:rFonts w:ascii="Segoe UI" w:eastAsia="宋体" w:hAnsi="Segoe UI" w:cs="Segoe UI"/>
                <w:color w:val="333333"/>
                <w:kern w:val="0"/>
                <w:sz w:val="18"/>
                <w:szCs w:val="18"/>
              </w:rPr>
              <w:t xml:space="preserve"> described as:</w:t>
            </w: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25" type="#_x0000_t75" style="width:20.25pt;height:15.75pt" o:ole="">
                  <v:imagedata r:id="rId7" o:title=""/>
                </v:shape>
                <w:control r:id="rId66" w:name="DefaultOcxName39" w:shapeid="_x0000_i122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A.</w:t>
            </w:r>
            <w:r w:rsidRPr="00BA3E11">
              <w:rPr>
                <w:rFonts w:ascii="Segoe UI" w:eastAsia="宋体" w:hAnsi="Segoe UI" w:cs="Segoe UI"/>
                <w:color w:val="000000"/>
                <w:kern w:val="0"/>
                <w:sz w:val="18"/>
                <w:szCs w:val="18"/>
              </w:rPr>
              <w:t xml:space="preserve"> an oligopoly.</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24" type="#_x0000_t75" style="width:20.25pt;height:15.75pt" o:ole="">
                  <v:imagedata r:id="rId9" o:title=""/>
                </v:shape>
                <w:control r:id="rId67" w:name="DefaultOcxName119" w:shapeid="_x0000_i122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B.</w:t>
            </w:r>
            <w:r w:rsidRPr="00BA3E11">
              <w:rPr>
                <w:rFonts w:ascii="Segoe UI" w:eastAsia="宋体" w:hAnsi="Segoe UI" w:cs="Segoe UI"/>
                <w:color w:val="000000"/>
                <w:kern w:val="0"/>
                <w:sz w:val="18"/>
                <w:szCs w:val="18"/>
              </w:rPr>
              <w:t xml:space="preserve"> perfectly competitive.</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23" type="#_x0000_t75" style="width:20.25pt;height:15.75pt" o:ole="">
                  <v:imagedata r:id="rId9" o:title=""/>
                </v:shape>
                <w:control r:id="rId68" w:name="DefaultOcxName219" w:shapeid="_x0000_i122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C.</w:t>
            </w:r>
            <w:r w:rsidRPr="00BA3E11">
              <w:rPr>
                <w:rFonts w:ascii="Segoe UI" w:eastAsia="宋体" w:hAnsi="Segoe UI" w:cs="Segoe UI"/>
                <w:color w:val="000000"/>
                <w:kern w:val="0"/>
                <w:sz w:val="18"/>
                <w:szCs w:val="18"/>
              </w:rPr>
              <w:t xml:space="preserve"> monopolistic competition.</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noWrap/>
            <w:vAlign w:val="center"/>
            <w:hideMark/>
          </w:tcPr>
          <w:p w:rsidR="00BA3E11" w:rsidRPr="00BA3E11" w:rsidRDefault="00BA3E11" w:rsidP="00BA3E11">
            <w:pPr>
              <w:widowControl/>
              <w:jc w:val="center"/>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0" w:type="auto"/>
            <w:gridSpan w:val="5"/>
            <w:shd w:val="clear" w:color="auto" w:fill="FF6347"/>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b/>
                <w:bCs/>
                <w:color w:val="000080"/>
                <w:kern w:val="0"/>
                <w:sz w:val="16"/>
                <w:szCs w:val="16"/>
              </w:rPr>
              <w:t>Feedback:</w:t>
            </w:r>
            <w:r w:rsidRPr="00BA3E11">
              <w:rPr>
                <w:rFonts w:ascii="Segoe UI" w:eastAsia="宋体" w:hAnsi="Segoe UI" w:cs="Segoe UI"/>
                <w:color w:val="333333"/>
                <w:kern w:val="0"/>
                <w:sz w:val="18"/>
                <w:szCs w:val="18"/>
              </w:rPr>
              <w:t xml:space="preserve"> You have answered incorrectly.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Correct answer: </w:t>
            </w:r>
            <w:r w:rsidRPr="00BA3E11">
              <w:rPr>
                <w:rFonts w:ascii="Segoe UI" w:eastAsia="宋体" w:hAnsi="Segoe UI" w:cs="Segoe UI"/>
                <w:b/>
                <w:bCs/>
                <w:color w:val="333333"/>
                <w:kern w:val="0"/>
                <w:sz w:val="18"/>
                <w:szCs w:val="18"/>
              </w:rPr>
              <w:t>B</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"Perfect Competition," Michael </w:t>
            </w:r>
            <w:proofErr w:type="spellStart"/>
            <w:r w:rsidRPr="00BA3E11">
              <w:rPr>
                <w:rFonts w:ascii="Segoe UI" w:eastAsia="宋体" w:hAnsi="Segoe UI" w:cs="Segoe UI"/>
                <w:color w:val="333333"/>
                <w:kern w:val="0"/>
                <w:sz w:val="18"/>
                <w:szCs w:val="18"/>
              </w:rPr>
              <w:t>Parkin</w:t>
            </w:r>
            <w:proofErr w:type="spellEnd"/>
            <w:r w:rsidRPr="00BA3E11">
              <w:rPr>
                <w:rFonts w:ascii="Segoe UI" w:eastAsia="宋体" w:hAnsi="Segoe UI" w:cs="Segoe UI"/>
                <w:color w:val="333333"/>
                <w:kern w:val="0"/>
                <w:sz w:val="18"/>
                <w:szCs w:val="18"/>
              </w:rPr>
              <w:br/>
              <w:t>2011 Modular Level I, Vol. 2, pp. 160–161</w:t>
            </w:r>
            <w:r w:rsidRPr="00BA3E11">
              <w:rPr>
                <w:rFonts w:ascii="Segoe UI" w:eastAsia="宋体" w:hAnsi="Segoe UI" w:cs="Segoe UI"/>
                <w:color w:val="333333"/>
                <w:kern w:val="0"/>
                <w:sz w:val="18"/>
                <w:szCs w:val="18"/>
              </w:rPr>
              <w:br/>
              <w:t>Study Session 5–18–a</w:t>
            </w:r>
            <w:r w:rsidRPr="00BA3E11">
              <w:rPr>
                <w:rFonts w:ascii="Segoe UI" w:eastAsia="宋体" w:hAnsi="Segoe UI" w:cs="Segoe UI"/>
                <w:color w:val="333333"/>
                <w:kern w:val="0"/>
                <w:sz w:val="18"/>
                <w:szCs w:val="18"/>
              </w:rPr>
              <w:br/>
              <w:t xml:space="preserve">Describe the characteristics of perfect competition, explain why companies in a perfectly competitive market are price takers, and differentiate between market and company demand curves. </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Firms in perfect competition are price takers. A price taker is a firm that cannot influence the market price and that sets its own price at the market price. </w:t>
            </w:r>
          </w:p>
        </w:tc>
      </w:tr>
    </w:tbl>
    <w:p w:rsidR="00BA3E11" w:rsidRDefault="00BA3E11">
      <w:pPr>
        <w:rPr>
          <w:rFonts w:hint="eastAsia"/>
        </w:rPr>
      </w:pPr>
    </w:p>
    <w:tbl>
      <w:tblPr>
        <w:tblW w:w="5000" w:type="pct"/>
        <w:tblCellSpacing w:w="15" w:type="dxa"/>
        <w:tblCellMar>
          <w:top w:w="30" w:type="dxa"/>
          <w:left w:w="30" w:type="dxa"/>
          <w:bottom w:w="30" w:type="dxa"/>
          <w:right w:w="30" w:type="dxa"/>
        </w:tblCellMar>
        <w:tblLook w:val="04A0"/>
      </w:tblPr>
      <w:tblGrid>
        <w:gridCol w:w="420"/>
        <w:gridCol w:w="778"/>
        <w:gridCol w:w="6955"/>
        <w:gridCol w:w="96"/>
        <w:gridCol w:w="96"/>
        <w:gridCol w:w="111"/>
      </w:tblGrid>
      <w:tr w:rsidR="00BA3E11" w:rsidRPr="00BA3E11" w:rsidTr="00BA3E1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A3E11" w:rsidRPr="00BA3E11" w:rsidRDefault="00BA3E11" w:rsidP="00BA3E11">
            <w:pPr>
              <w:widowControl/>
              <w:jc w:val="left"/>
              <w:rPr>
                <w:rFonts w:ascii="Segoe UI" w:eastAsia="宋体" w:hAnsi="Segoe UI" w:cs="Segoe UI"/>
                <w:b/>
                <w:bCs/>
                <w:color w:val="000000"/>
                <w:kern w:val="0"/>
                <w:sz w:val="18"/>
                <w:szCs w:val="18"/>
              </w:rPr>
            </w:pPr>
            <w:r w:rsidRPr="00BA3E11">
              <w:rPr>
                <w:rFonts w:ascii="Segoe UI" w:eastAsia="宋体" w:hAnsi="Segoe UI" w:cs="Segoe UI"/>
                <w:b/>
                <w:bCs/>
                <w:color w:val="000000"/>
                <w:kern w:val="0"/>
                <w:sz w:val="18"/>
                <w:szCs w:val="18"/>
              </w:rPr>
              <w:t>21</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xml:space="preserve">Suppose that at a tax rate of 85 percent, a nation’s growth rate in GDP is 2 percent and its tax revenue is the equivalent of $100 billion. If the nation reduces its tax rate to 50 percent, growth rate of GDP becomes 6 percent, and tax revenue increases to $120 billion. Such a possibility is </w:t>
            </w:r>
            <w:r w:rsidRPr="00BA3E11">
              <w:rPr>
                <w:rFonts w:ascii="Segoe UI" w:eastAsia="宋体" w:hAnsi="Segoe UI" w:cs="Segoe UI"/>
                <w:i/>
                <w:iCs/>
                <w:color w:val="333333"/>
                <w:kern w:val="0"/>
                <w:sz w:val="18"/>
                <w:szCs w:val="18"/>
              </w:rPr>
              <w:t>best</w:t>
            </w:r>
            <w:r w:rsidRPr="00BA3E11">
              <w:rPr>
                <w:rFonts w:ascii="Segoe UI" w:eastAsia="宋体" w:hAnsi="Segoe UI" w:cs="Segoe UI"/>
                <w:color w:val="333333"/>
                <w:kern w:val="0"/>
                <w:sz w:val="18"/>
                <w:szCs w:val="18"/>
              </w:rPr>
              <w:t xml:space="preserve"> described as an example that is consistent with the:</w:t>
            </w: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34" type="#_x0000_t75" style="width:20.25pt;height:15.75pt" o:ole="">
                  <v:imagedata r:id="rId7" o:title=""/>
                </v:shape>
                <w:control r:id="rId69" w:name="DefaultOcxName40" w:shapeid="_x0000_i123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A.</w:t>
            </w:r>
            <w:r w:rsidRPr="00BA3E11">
              <w:rPr>
                <w:rFonts w:ascii="Segoe UI" w:eastAsia="宋体" w:hAnsi="Segoe UI" w:cs="Segoe UI"/>
                <w:color w:val="000000"/>
                <w:kern w:val="0"/>
                <w:sz w:val="18"/>
                <w:szCs w:val="18"/>
              </w:rPr>
              <w:t xml:space="preserve"> tax wedge.</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33" type="#_x0000_t75" style="width:20.25pt;height:15.75pt" o:ole="">
                  <v:imagedata r:id="rId9" o:title=""/>
                </v:shape>
                <w:control r:id="rId70" w:name="DefaultOcxName120" w:shapeid="_x0000_i123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B.</w:t>
            </w:r>
            <w:r w:rsidRPr="00BA3E11">
              <w:rPr>
                <w:rFonts w:ascii="Segoe UI" w:eastAsia="宋体" w:hAnsi="Segoe UI" w:cs="Segoe UI"/>
                <w:color w:val="000000"/>
                <w:kern w:val="0"/>
                <w:sz w:val="18"/>
                <w:szCs w:val="18"/>
              </w:rPr>
              <w:t xml:space="preserve"> </w:t>
            </w:r>
            <w:proofErr w:type="spellStart"/>
            <w:r w:rsidRPr="00BA3E11">
              <w:rPr>
                <w:rFonts w:ascii="Segoe UI" w:eastAsia="宋体" w:hAnsi="Segoe UI" w:cs="Segoe UI"/>
                <w:color w:val="000000"/>
                <w:kern w:val="0"/>
                <w:sz w:val="18"/>
                <w:szCs w:val="18"/>
              </w:rPr>
              <w:t>Laffer</w:t>
            </w:r>
            <w:proofErr w:type="spellEnd"/>
            <w:r w:rsidRPr="00BA3E11">
              <w:rPr>
                <w:rFonts w:ascii="Segoe UI" w:eastAsia="宋体" w:hAnsi="Segoe UI" w:cs="Segoe UI"/>
                <w:color w:val="000000"/>
                <w:kern w:val="0"/>
                <w:sz w:val="18"/>
                <w:szCs w:val="18"/>
              </w:rPr>
              <w:t xml:space="preserve"> curve.</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32" type="#_x0000_t75" style="width:20.25pt;height:15.75pt" o:ole="">
                  <v:imagedata r:id="rId9" o:title=""/>
                </v:shape>
                <w:control r:id="rId71" w:name="DefaultOcxName220" w:shapeid="_x0000_i123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C.</w:t>
            </w:r>
            <w:r w:rsidRPr="00BA3E11">
              <w:rPr>
                <w:rFonts w:ascii="Segoe UI" w:eastAsia="宋体" w:hAnsi="Segoe UI" w:cs="Segoe UI"/>
                <w:color w:val="000000"/>
                <w:kern w:val="0"/>
                <w:sz w:val="18"/>
                <w:szCs w:val="18"/>
              </w:rPr>
              <w:t xml:space="preserve"> Phillips curve.</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noWrap/>
            <w:vAlign w:val="center"/>
            <w:hideMark/>
          </w:tcPr>
          <w:p w:rsidR="00BA3E11" w:rsidRPr="00BA3E11" w:rsidRDefault="00BA3E11" w:rsidP="00BA3E11">
            <w:pPr>
              <w:widowControl/>
              <w:jc w:val="center"/>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0" w:type="auto"/>
            <w:gridSpan w:val="5"/>
            <w:shd w:val="clear" w:color="auto" w:fill="FF6347"/>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b/>
                <w:bCs/>
                <w:color w:val="000080"/>
                <w:kern w:val="0"/>
                <w:sz w:val="16"/>
                <w:szCs w:val="16"/>
              </w:rPr>
              <w:t>Feedback:</w:t>
            </w:r>
            <w:r w:rsidRPr="00BA3E11">
              <w:rPr>
                <w:rFonts w:ascii="Segoe UI" w:eastAsia="宋体" w:hAnsi="Segoe UI" w:cs="Segoe UI"/>
                <w:color w:val="333333"/>
                <w:kern w:val="0"/>
                <w:sz w:val="18"/>
                <w:szCs w:val="18"/>
              </w:rPr>
              <w:t xml:space="preserve"> You have answered incorrectly.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Correct answer: </w:t>
            </w:r>
            <w:r w:rsidRPr="00BA3E11">
              <w:rPr>
                <w:rFonts w:ascii="Segoe UI" w:eastAsia="宋体" w:hAnsi="Segoe UI" w:cs="Segoe UI"/>
                <w:b/>
                <w:bCs/>
                <w:color w:val="333333"/>
                <w:kern w:val="0"/>
                <w:sz w:val="18"/>
                <w:szCs w:val="18"/>
              </w:rPr>
              <w:t>B</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"Fiscal Policy," Michael </w:t>
            </w:r>
            <w:proofErr w:type="spellStart"/>
            <w:r w:rsidRPr="00BA3E11">
              <w:rPr>
                <w:rFonts w:ascii="Segoe UI" w:eastAsia="宋体" w:hAnsi="Segoe UI" w:cs="Segoe UI"/>
                <w:color w:val="333333"/>
                <w:kern w:val="0"/>
                <w:sz w:val="18"/>
                <w:szCs w:val="18"/>
              </w:rPr>
              <w:t>Parkin</w:t>
            </w:r>
            <w:proofErr w:type="spellEnd"/>
            <w:r w:rsidRPr="00BA3E11">
              <w:rPr>
                <w:rFonts w:ascii="Segoe UI" w:eastAsia="宋体" w:hAnsi="Segoe UI" w:cs="Segoe UI"/>
                <w:color w:val="333333"/>
                <w:kern w:val="0"/>
                <w:sz w:val="18"/>
                <w:szCs w:val="18"/>
              </w:rPr>
              <w:br/>
              <w:t>2011 Modular Level I, Vol. 2, pp. 435–436</w:t>
            </w:r>
            <w:r w:rsidRPr="00BA3E11">
              <w:rPr>
                <w:rFonts w:ascii="Segoe UI" w:eastAsia="宋体" w:hAnsi="Segoe UI" w:cs="Segoe UI"/>
                <w:color w:val="333333"/>
                <w:kern w:val="0"/>
                <w:sz w:val="18"/>
                <w:szCs w:val="18"/>
              </w:rPr>
              <w:br/>
              <w:t>Study Session 6–26–a</w:t>
            </w:r>
            <w:r w:rsidRPr="00BA3E11">
              <w:rPr>
                <w:rFonts w:ascii="Segoe UI" w:eastAsia="宋体" w:hAnsi="Segoe UI" w:cs="Segoe UI"/>
                <w:color w:val="333333"/>
                <w:kern w:val="0"/>
                <w:sz w:val="18"/>
                <w:szCs w:val="18"/>
              </w:rPr>
              <w:br/>
              <w:t xml:space="preserve">Explain supply-side effects on employment, potential GDP, and aggregate supply, including the income tax and taxes on expenditure, and describe the </w:t>
            </w:r>
            <w:proofErr w:type="spellStart"/>
            <w:r w:rsidRPr="00BA3E11">
              <w:rPr>
                <w:rFonts w:ascii="Segoe UI" w:eastAsia="宋体" w:hAnsi="Segoe UI" w:cs="Segoe UI"/>
                <w:color w:val="333333"/>
                <w:kern w:val="0"/>
                <w:sz w:val="18"/>
                <w:szCs w:val="18"/>
              </w:rPr>
              <w:t>Laffer</w:t>
            </w:r>
            <w:proofErr w:type="spellEnd"/>
            <w:r w:rsidRPr="00BA3E11">
              <w:rPr>
                <w:rFonts w:ascii="Segoe UI" w:eastAsia="宋体" w:hAnsi="Segoe UI" w:cs="Segoe UI"/>
                <w:color w:val="333333"/>
                <w:kern w:val="0"/>
                <w:sz w:val="18"/>
                <w:szCs w:val="18"/>
              </w:rPr>
              <w:t xml:space="preserve"> curve and its relation to supply-side economics.</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The </w:t>
            </w:r>
            <w:proofErr w:type="spellStart"/>
            <w:r w:rsidRPr="00BA3E11">
              <w:rPr>
                <w:rFonts w:ascii="Segoe UI" w:eastAsia="宋体" w:hAnsi="Segoe UI" w:cs="Segoe UI"/>
                <w:color w:val="333333"/>
                <w:kern w:val="0"/>
                <w:sz w:val="18"/>
                <w:szCs w:val="18"/>
              </w:rPr>
              <w:t>Laffer</w:t>
            </w:r>
            <w:proofErr w:type="spellEnd"/>
            <w:r w:rsidRPr="00BA3E11">
              <w:rPr>
                <w:rFonts w:ascii="Segoe UI" w:eastAsia="宋体" w:hAnsi="Segoe UI" w:cs="Segoe UI"/>
                <w:color w:val="333333"/>
                <w:kern w:val="0"/>
                <w:sz w:val="18"/>
                <w:szCs w:val="18"/>
              </w:rPr>
              <w:t xml:space="preserve"> curve argues that when a nation reduces its tax rate from a "too high" tax rate, economic growth will be stimulated to such a degree that tax revenue to the government will actually increase. It is difficult to define exactly how high "too high" is. </w:t>
            </w:r>
          </w:p>
        </w:tc>
      </w:tr>
    </w:tbl>
    <w:p w:rsidR="00BA3E11" w:rsidRDefault="00BA3E11">
      <w:pPr>
        <w:rPr>
          <w:rFonts w:hint="eastAsia"/>
        </w:rPr>
      </w:pPr>
    </w:p>
    <w:tbl>
      <w:tblPr>
        <w:tblW w:w="5000" w:type="pct"/>
        <w:tblCellSpacing w:w="15" w:type="dxa"/>
        <w:tblCellMar>
          <w:top w:w="30" w:type="dxa"/>
          <w:left w:w="30" w:type="dxa"/>
          <w:bottom w:w="30" w:type="dxa"/>
          <w:right w:w="30" w:type="dxa"/>
        </w:tblCellMar>
        <w:tblLook w:val="04A0"/>
      </w:tblPr>
      <w:tblGrid>
        <w:gridCol w:w="420"/>
        <w:gridCol w:w="689"/>
        <w:gridCol w:w="7044"/>
        <w:gridCol w:w="96"/>
        <w:gridCol w:w="96"/>
        <w:gridCol w:w="111"/>
      </w:tblGrid>
      <w:tr w:rsidR="00BA3E11" w:rsidRPr="00BA3E11" w:rsidTr="00BA3E1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A3E11" w:rsidRPr="00BA3E11" w:rsidRDefault="00BA3E11" w:rsidP="00BA3E11">
            <w:pPr>
              <w:widowControl/>
              <w:jc w:val="left"/>
              <w:rPr>
                <w:rFonts w:ascii="Segoe UI" w:eastAsia="宋体" w:hAnsi="Segoe UI" w:cs="Segoe UI"/>
                <w:b/>
                <w:bCs/>
                <w:color w:val="000000"/>
                <w:kern w:val="0"/>
                <w:sz w:val="18"/>
                <w:szCs w:val="18"/>
              </w:rPr>
            </w:pPr>
            <w:r w:rsidRPr="00BA3E11">
              <w:rPr>
                <w:rFonts w:ascii="Segoe UI" w:eastAsia="宋体" w:hAnsi="Segoe UI" w:cs="Segoe UI"/>
                <w:b/>
                <w:bCs/>
                <w:color w:val="000000"/>
                <w:kern w:val="0"/>
                <w:sz w:val="18"/>
                <w:szCs w:val="18"/>
              </w:rPr>
              <w:t>22</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xml:space="preserve">In the United States, monetary policy is </w:t>
            </w:r>
            <w:r w:rsidRPr="00BA3E11">
              <w:rPr>
                <w:rFonts w:ascii="Segoe UI" w:eastAsia="宋体" w:hAnsi="Segoe UI" w:cs="Segoe UI"/>
                <w:i/>
                <w:iCs/>
                <w:color w:val="333333"/>
                <w:kern w:val="0"/>
                <w:sz w:val="18"/>
                <w:szCs w:val="18"/>
              </w:rPr>
              <w:t>primarily</w:t>
            </w:r>
            <w:r w:rsidRPr="00BA3E11">
              <w:rPr>
                <w:rFonts w:ascii="Segoe UI" w:eastAsia="宋体" w:hAnsi="Segoe UI" w:cs="Segoe UI"/>
                <w:color w:val="333333"/>
                <w:kern w:val="0"/>
                <w:sz w:val="18"/>
                <w:szCs w:val="18"/>
              </w:rPr>
              <w:t xml:space="preserve"> a function of the:</w:t>
            </w: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43" type="#_x0000_t75" style="width:20.25pt;height:15.75pt" o:ole="">
                  <v:imagedata r:id="rId7" o:title=""/>
                </v:shape>
                <w:control r:id="rId72" w:name="DefaultOcxName41" w:shapeid="_x0000_i124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A.</w:t>
            </w:r>
            <w:r w:rsidRPr="00BA3E11">
              <w:rPr>
                <w:rFonts w:ascii="Segoe UI" w:eastAsia="宋体" w:hAnsi="Segoe UI" w:cs="Segoe UI"/>
                <w:color w:val="000000"/>
                <w:kern w:val="0"/>
                <w:sz w:val="18"/>
                <w:szCs w:val="18"/>
              </w:rPr>
              <w:t xml:space="preserve"> Congress.</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42" type="#_x0000_t75" style="width:20.25pt;height:15.75pt" o:ole="">
                  <v:imagedata r:id="rId9" o:title=""/>
                </v:shape>
                <w:control r:id="rId73" w:name="DefaultOcxName121" w:shapeid="_x0000_i124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B.</w:t>
            </w:r>
            <w:r w:rsidRPr="00BA3E11">
              <w:rPr>
                <w:rFonts w:ascii="Segoe UI" w:eastAsia="宋体" w:hAnsi="Segoe UI" w:cs="Segoe UI"/>
                <w:color w:val="000000"/>
                <w:kern w:val="0"/>
                <w:sz w:val="18"/>
                <w:szCs w:val="18"/>
              </w:rPr>
              <w:t xml:space="preserve"> President.</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41" type="#_x0000_t75" style="width:20.25pt;height:15.75pt" o:ole="">
                  <v:imagedata r:id="rId9" o:title=""/>
                </v:shape>
                <w:control r:id="rId74" w:name="DefaultOcxName221" w:shapeid="_x0000_i124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C.</w:t>
            </w:r>
            <w:r w:rsidRPr="00BA3E11">
              <w:rPr>
                <w:rFonts w:ascii="Segoe UI" w:eastAsia="宋体" w:hAnsi="Segoe UI" w:cs="Segoe UI"/>
                <w:color w:val="000000"/>
                <w:kern w:val="0"/>
                <w:sz w:val="18"/>
                <w:szCs w:val="18"/>
              </w:rPr>
              <w:t xml:space="preserve"> Federal Reserve System.</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noWrap/>
            <w:vAlign w:val="center"/>
            <w:hideMark/>
          </w:tcPr>
          <w:p w:rsidR="00BA3E11" w:rsidRPr="00BA3E11" w:rsidRDefault="00BA3E11" w:rsidP="00BA3E11">
            <w:pPr>
              <w:widowControl/>
              <w:jc w:val="center"/>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0" w:type="auto"/>
            <w:gridSpan w:val="5"/>
            <w:shd w:val="clear" w:color="auto" w:fill="FF6347"/>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b/>
                <w:bCs/>
                <w:color w:val="000080"/>
                <w:kern w:val="0"/>
                <w:sz w:val="16"/>
                <w:szCs w:val="16"/>
              </w:rPr>
              <w:t>Feedback:</w:t>
            </w:r>
            <w:r w:rsidRPr="00BA3E11">
              <w:rPr>
                <w:rFonts w:ascii="Segoe UI" w:eastAsia="宋体" w:hAnsi="Segoe UI" w:cs="Segoe UI"/>
                <w:color w:val="333333"/>
                <w:kern w:val="0"/>
                <w:sz w:val="18"/>
                <w:szCs w:val="18"/>
              </w:rPr>
              <w:t xml:space="preserve"> You have answered incorrectly.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Correct answer: </w:t>
            </w:r>
            <w:r w:rsidRPr="00BA3E11">
              <w:rPr>
                <w:rFonts w:ascii="Segoe UI" w:eastAsia="宋体" w:hAnsi="Segoe UI" w:cs="Segoe UI"/>
                <w:b/>
                <w:bCs/>
                <w:color w:val="333333"/>
                <w:kern w:val="0"/>
                <w:sz w:val="18"/>
                <w:szCs w:val="18"/>
              </w:rPr>
              <w:t>C</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"Monetary Policy," Michael </w:t>
            </w:r>
            <w:proofErr w:type="spellStart"/>
            <w:r w:rsidRPr="00BA3E11">
              <w:rPr>
                <w:rFonts w:ascii="Segoe UI" w:eastAsia="宋体" w:hAnsi="Segoe UI" w:cs="Segoe UI"/>
                <w:color w:val="333333"/>
                <w:kern w:val="0"/>
                <w:sz w:val="18"/>
                <w:szCs w:val="18"/>
              </w:rPr>
              <w:t>Parkin</w:t>
            </w:r>
            <w:proofErr w:type="spellEnd"/>
            <w:r w:rsidRPr="00BA3E11">
              <w:rPr>
                <w:rFonts w:ascii="Segoe UI" w:eastAsia="宋体" w:hAnsi="Segoe UI" w:cs="Segoe UI"/>
                <w:color w:val="333333"/>
                <w:kern w:val="0"/>
                <w:sz w:val="18"/>
                <w:szCs w:val="18"/>
              </w:rPr>
              <w:br/>
              <w:t>2011 Modular Level I, Vol. 2, p. 463</w:t>
            </w:r>
            <w:r w:rsidRPr="00BA3E11">
              <w:rPr>
                <w:rFonts w:ascii="Segoe UI" w:eastAsia="宋体" w:hAnsi="Segoe UI" w:cs="Segoe UI"/>
                <w:color w:val="333333"/>
                <w:kern w:val="0"/>
                <w:sz w:val="18"/>
                <w:szCs w:val="18"/>
              </w:rPr>
              <w:br/>
              <w:t>Study Session 6–27–a, b</w:t>
            </w:r>
            <w:r w:rsidRPr="00BA3E11">
              <w:rPr>
                <w:rFonts w:ascii="Segoe UI" w:eastAsia="宋体" w:hAnsi="Segoe UI" w:cs="Segoe UI"/>
                <w:color w:val="333333"/>
                <w:kern w:val="0"/>
                <w:sz w:val="18"/>
                <w:szCs w:val="18"/>
              </w:rPr>
              <w:br/>
              <w:t xml:space="preserve">Discuss the goals of U.S. monetary policy and the Federal Reserve System's means for achieving the goals, including how the Fed </w:t>
            </w:r>
            <w:proofErr w:type="spellStart"/>
            <w:r w:rsidRPr="00BA3E11">
              <w:rPr>
                <w:rFonts w:ascii="Segoe UI" w:eastAsia="宋体" w:hAnsi="Segoe UI" w:cs="Segoe UI"/>
                <w:color w:val="333333"/>
                <w:kern w:val="0"/>
                <w:sz w:val="18"/>
                <w:szCs w:val="18"/>
              </w:rPr>
              <w:t>operationalizes</w:t>
            </w:r>
            <w:proofErr w:type="spellEnd"/>
            <w:r w:rsidRPr="00BA3E11">
              <w:rPr>
                <w:rFonts w:ascii="Segoe UI" w:eastAsia="宋体" w:hAnsi="Segoe UI" w:cs="Segoe UI"/>
                <w:color w:val="333333"/>
                <w:kern w:val="0"/>
                <w:sz w:val="18"/>
                <w:szCs w:val="18"/>
              </w:rPr>
              <w:t xml:space="preserve"> those goals.</w:t>
            </w:r>
            <w:r w:rsidRPr="00BA3E11">
              <w:rPr>
                <w:rFonts w:ascii="Segoe UI" w:eastAsia="宋体" w:hAnsi="Segoe UI" w:cs="Segoe UI"/>
                <w:color w:val="333333"/>
                <w:kern w:val="0"/>
                <w:sz w:val="18"/>
                <w:szCs w:val="18"/>
              </w:rPr>
              <w:br/>
              <w:t>Describe how the Fed conducts monetary policy, and explain the Fed's decision-making strategy, including an instrument rule, a targeting rule, open-market operations, and the market for reserves.</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In the United States, the Federal Reserve System is primarily responsible for monetary policy. </w:t>
            </w:r>
          </w:p>
        </w:tc>
      </w:tr>
    </w:tbl>
    <w:p w:rsidR="00BA3E11" w:rsidRDefault="00BA3E11">
      <w:pPr>
        <w:rPr>
          <w:rFonts w:hint="eastAsia"/>
        </w:rPr>
      </w:pPr>
    </w:p>
    <w:tbl>
      <w:tblPr>
        <w:tblW w:w="5000" w:type="pct"/>
        <w:tblCellSpacing w:w="15" w:type="dxa"/>
        <w:tblCellMar>
          <w:top w:w="30" w:type="dxa"/>
          <w:left w:w="30" w:type="dxa"/>
          <w:bottom w:w="30" w:type="dxa"/>
          <w:right w:w="30" w:type="dxa"/>
        </w:tblCellMar>
        <w:tblLook w:val="04A0"/>
      </w:tblPr>
      <w:tblGrid>
        <w:gridCol w:w="420"/>
        <w:gridCol w:w="739"/>
        <w:gridCol w:w="6994"/>
        <w:gridCol w:w="96"/>
        <w:gridCol w:w="96"/>
        <w:gridCol w:w="111"/>
      </w:tblGrid>
      <w:tr w:rsidR="00BA3E11" w:rsidRPr="00BA3E11" w:rsidTr="00BA3E1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A3E11" w:rsidRPr="00BA3E11" w:rsidRDefault="00BA3E11" w:rsidP="00BA3E11">
            <w:pPr>
              <w:widowControl/>
              <w:jc w:val="left"/>
              <w:rPr>
                <w:rFonts w:ascii="Segoe UI" w:eastAsia="宋体" w:hAnsi="Segoe UI" w:cs="Segoe UI"/>
                <w:b/>
                <w:bCs/>
                <w:color w:val="000000"/>
                <w:kern w:val="0"/>
                <w:sz w:val="18"/>
                <w:szCs w:val="18"/>
              </w:rPr>
            </w:pPr>
            <w:r w:rsidRPr="00BA3E11">
              <w:rPr>
                <w:rFonts w:ascii="Segoe UI" w:eastAsia="宋体" w:hAnsi="Segoe UI" w:cs="Segoe UI"/>
                <w:b/>
                <w:bCs/>
                <w:color w:val="000000"/>
                <w:kern w:val="0"/>
                <w:sz w:val="18"/>
                <w:szCs w:val="18"/>
              </w:rPr>
              <w:t>23</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xml:space="preserve">Which of the following is </w:t>
            </w:r>
            <w:r w:rsidRPr="00BA3E11">
              <w:rPr>
                <w:rFonts w:ascii="Segoe UI" w:eastAsia="宋体" w:hAnsi="Segoe UI" w:cs="Segoe UI"/>
                <w:i/>
                <w:iCs/>
                <w:color w:val="333333"/>
                <w:kern w:val="0"/>
                <w:sz w:val="18"/>
                <w:szCs w:val="18"/>
              </w:rPr>
              <w:t>least likely</w:t>
            </w:r>
            <w:r w:rsidRPr="00BA3E11">
              <w:rPr>
                <w:rFonts w:ascii="Segoe UI" w:eastAsia="宋体" w:hAnsi="Segoe UI" w:cs="Segoe UI"/>
                <w:color w:val="333333"/>
                <w:kern w:val="0"/>
                <w:sz w:val="18"/>
                <w:szCs w:val="18"/>
              </w:rPr>
              <w:t xml:space="preserve"> to appear in a company’s proxy statement?</w:t>
            </w: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52" type="#_x0000_t75" style="width:20.25pt;height:15.75pt" o:ole="">
                  <v:imagedata r:id="rId7" o:title=""/>
                </v:shape>
                <w:control r:id="rId75" w:name="DefaultOcxName42" w:shapeid="_x0000_i125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A.</w:t>
            </w:r>
            <w:r w:rsidRPr="00BA3E11">
              <w:rPr>
                <w:rFonts w:ascii="Segoe UI" w:eastAsia="宋体" w:hAnsi="Segoe UI" w:cs="Segoe UI"/>
                <w:color w:val="000000"/>
                <w:kern w:val="0"/>
                <w:sz w:val="18"/>
                <w:szCs w:val="18"/>
              </w:rPr>
              <w:t xml:space="preserve"> Compensation arrangements for management and directors</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51" type="#_x0000_t75" style="width:20.25pt;height:15.75pt" o:ole="">
                  <v:imagedata r:id="rId9" o:title=""/>
                </v:shape>
                <w:control r:id="rId76" w:name="DefaultOcxName122" w:shapeid="_x0000_i125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B.</w:t>
            </w:r>
            <w:r w:rsidRPr="00BA3E11">
              <w:rPr>
                <w:rFonts w:ascii="Segoe UI" w:eastAsia="宋体" w:hAnsi="Segoe UI" w:cs="Segoe UI"/>
                <w:color w:val="000000"/>
                <w:kern w:val="0"/>
                <w:sz w:val="18"/>
                <w:szCs w:val="18"/>
              </w:rPr>
              <w:t xml:space="preserve"> Significant events and contingencies that may affect future operations</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50" type="#_x0000_t75" style="width:20.25pt;height:15.75pt" o:ole="">
                  <v:imagedata r:id="rId9" o:title=""/>
                </v:shape>
                <w:control r:id="rId77" w:name="DefaultOcxName222" w:shapeid="_x0000_i125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C.</w:t>
            </w:r>
            <w:r w:rsidRPr="00BA3E11">
              <w:rPr>
                <w:rFonts w:ascii="Segoe UI" w:eastAsia="宋体" w:hAnsi="Segoe UI" w:cs="Segoe UI"/>
                <w:color w:val="000000"/>
                <w:kern w:val="0"/>
                <w:sz w:val="18"/>
                <w:szCs w:val="18"/>
              </w:rPr>
              <w:t xml:space="preserve"> Potential conflicts of interest between management, directors, and shareholders</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noWrap/>
            <w:vAlign w:val="center"/>
            <w:hideMark/>
          </w:tcPr>
          <w:p w:rsidR="00BA3E11" w:rsidRPr="00BA3E11" w:rsidRDefault="00BA3E11" w:rsidP="00BA3E11">
            <w:pPr>
              <w:widowControl/>
              <w:jc w:val="center"/>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0" w:type="auto"/>
            <w:gridSpan w:val="5"/>
            <w:shd w:val="clear" w:color="auto" w:fill="FF6347"/>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b/>
                <w:bCs/>
                <w:color w:val="000080"/>
                <w:kern w:val="0"/>
                <w:sz w:val="16"/>
                <w:szCs w:val="16"/>
              </w:rPr>
              <w:t>Feedback:</w:t>
            </w:r>
            <w:r w:rsidRPr="00BA3E11">
              <w:rPr>
                <w:rFonts w:ascii="Segoe UI" w:eastAsia="宋体" w:hAnsi="Segoe UI" w:cs="Segoe UI"/>
                <w:color w:val="333333"/>
                <w:kern w:val="0"/>
                <w:sz w:val="18"/>
                <w:szCs w:val="18"/>
              </w:rPr>
              <w:t xml:space="preserve"> You have answered incorrectly.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Correct answer: </w:t>
            </w:r>
            <w:r w:rsidRPr="00BA3E11">
              <w:rPr>
                <w:rFonts w:ascii="Segoe UI" w:eastAsia="宋体" w:hAnsi="Segoe UI" w:cs="Segoe UI"/>
                <w:b/>
                <w:bCs/>
                <w:color w:val="333333"/>
                <w:kern w:val="0"/>
                <w:sz w:val="18"/>
                <w:szCs w:val="18"/>
              </w:rPr>
              <w:t>B</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"Financial Statement Analysis: An Introduction," Thomas R. Robinson, CFA, Jan </w:t>
            </w:r>
            <w:proofErr w:type="spellStart"/>
            <w:r w:rsidRPr="00BA3E11">
              <w:rPr>
                <w:rFonts w:ascii="Segoe UI" w:eastAsia="宋体" w:hAnsi="Segoe UI" w:cs="Segoe UI"/>
                <w:color w:val="333333"/>
                <w:kern w:val="0"/>
                <w:sz w:val="18"/>
                <w:szCs w:val="18"/>
              </w:rPr>
              <w:t>Hendrik</w:t>
            </w:r>
            <w:proofErr w:type="spellEnd"/>
            <w:r w:rsidRPr="00BA3E11">
              <w:rPr>
                <w:rFonts w:ascii="Segoe UI" w:eastAsia="宋体" w:hAnsi="Segoe UI" w:cs="Segoe UI"/>
                <w:color w:val="333333"/>
                <w:kern w:val="0"/>
                <w:sz w:val="18"/>
                <w:szCs w:val="18"/>
              </w:rPr>
              <w:t xml:space="preserve"> van </w:t>
            </w:r>
            <w:proofErr w:type="spellStart"/>
            <w:r w:rsidRPr="00BA3E11">
              <w:rPr>
                <w:rFonts w:ascii="Segoe UI" w:eastAsia="宋体" w:hAnsi="Segoe UI" w:cs="Segoe UI"/>
                <w:color w:val="333333"/>
                <w:kern w:val="0"/>
                <w:sz w:val="18"/>
                <w:szCs w:val="18"/>
              </w:rPr>
              <w:t>Greuning</w:t>
            </w:r>
            <w:proofErr w:type="spellEnd"/>
            <w:r w:rsidRPr="00BA3E11">
              <w:rPr>
                <w:rFonts w:ascii="Segoe UI" w:eastAsia="宋体" w:hAnsi="Segoe UI" w:cs="Segoe UI"/>
                <w:color w:val="333333"/>
                <w:kern w:val="0"/>
                <w:sz w:val="18"/>
                <w:szCs w:val="18"/>
              </w:rPr>
              <w:t xml:space="preserve">, CFA, Elaine Henry, CFA, and Michael A. </w:t>
            </w:r>
            <w:proofErr w:type="spellStart"/>
            <w:r w:rsidRPr="00BA3E11">
              <w:rPr>
                <w:rFonts w:ascii="Segoe UI" w:eastAsia="宋体" w:hAnsi="Segoe UI" w:cs="Segoe UI"/>
                <w:color w:val="333333"/>
                <w:kern w:val="0"/>
                <w:sz w:val="18"/>
                <w:szCs w:val="18"/>
              </w:rPr>
              <w:t>Broihahn</w:t>
            </w:r>
            <w:proofErr w:type="spellEnd"/>
            <w:r w:rsidRPr="00BA3E11">
              <w:rPr>
                <w:rFonts w:ascii="Segoe UI" w:eastAsia="宋体" w:hAnsi="Segoe UI" w:cs="Segoe UI"/>
                <w:color w:val="333333"/>
                <w:kern w:val="0"/>
                <w:sz w:val="18"/>
                <w:szCs w:val="18"/>
              </w:rPr>
              <w:t>, CFA</w:t>
            </w:r>
            <w:r w:rsidRPr="00BA3E11">
              <w:rPr>
                <w:rFonts w:ascii="Segoe UI" w:eastAsia="宋体" w:hAnsi="Segoe UI" w:cs="Segoe UI"/>
                <w:color w:val="333333"/>
                <w:kern w:val="0"/>
                <w:sz w:val="18"/>
                <w:szCs w:val="18"/>
              </w:rPr>
              <w:br/>
              <w:t>2011 Modular Level I, Vol. 3, pp. 18, 23</w:t>
            </w:r>
            <w:r w:rsidRPr="00BA3E11">
              <w:rPr>
                <w:rFonts w:ascii="Segoe UI" w:eastAsia="宋体" w:hAnsi="Segoe UI" w:cs="Segoe UI"/>
                <w:color w:val="333333"/>
                <w:kern w:val="0"/>
                <w:sz w:val="18"/>
                <w:szCs w:val="18"/>
              </w:rPr>
              <w:br/>
              <w:t>Study Session 7–29–c, e</w:t>
            </w:r>
            <w:r w:rsidRPr="00BA3E11">
              <w:rPr>
                <w:rFonts w:ascii="Segoe UI" w:eastAsia="宋体" w:hAnsi="Segoe UI" w:cs="Segoe UI"/>
                <w:color w:val="333333"/>
                <w:kern w:val="0"/>
                <w:sz w:val="18"/>
                <w:szCs w:val="18"/>
              </w:rPr>
              <w:br/>
              <w:t>Discuss the importance of financial statement notes and supplementary information, including disclosures of accounting methods, estimates, and assumptions, and management's discussion and analysis.</w:t>
            </w:r>
            <w:r w:rsidRPr="00BA3E11">
              <w:rPr>
                <w:rFonts w:ascii="Segoe UI" w:eastAsia="宋体" w:hAnsi="Segoe UI" w:cs="Segoe UI"/>
                <w:color w:val="333333"/>
                <w:kern w:val="0"/>
                <w:sz w:val="18"/>
                <w:szCs w:val="18"/>
              </w:rPr>
              <w:br/>
              <w:t>Identify and explain information sources other than annual financial statements and supplementary information that analysts use in financial statement analysis.</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Significant events, conditions, trends, and contingencies that may affect future operations are contained in Management's Discussion and Analysis. Compensation agreements for directors and management and their potential conflicts of interest are required in the proxy statement. </w:t>
            </w:r>
          </w:p>
        </w:tc>
      </w:tr>
    </w:tbl>
    <w:p w:rsidR="00BA3E11" w:rsidRDefault="00BA3E11">
      <w:pPr>
        <w:rPr>
          <w:rFonts w:hint="eastAsia"/>
        </w:rPr>
      </w:pPr>
    </w:p>
    <w:tbl>
      <w:tblPr>
        <w:tblW w:w="5000" w:type="pct"/>
        <w:tblCellSpacing w:w="15" w:type="dxa"/>
        <w:tblCellMar>
          <w:top w:w="30" w:type="dxa"/>
          <w:left w:w="30" w:type="dxa"/>
          <w:bottom w:w="30" w:type="dxa"/>
          <w:right w:w="30" w:type="dxa"/>
        </w:tblCellMar>
        <w:tblLook w:val="04A0"/>
      </w:tblPr>
      <w:tblGrid>
        <w:gridCol w:w="420"/>
        <w:gridCol w:w="719"/>
        <w:gridCol w:w="6966"/>
        <w:gridCol w:w="112"/>
        <w:gridCol w:w="112"/>
        <w:gridCol w:w="127"/>
      </w:tblGrid>
      <w:tr w:rsidR="00BA3E11" w:rsidRPr="00BA3E11" w:rsidTr="00BA3E1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A3E11" w:rsidRPr="00BA3E11" w:rsidRDefault="00BA3E11" w:rsidP="00BA3E11">
            <w:pPr>
              <w:widowControl/>
              <w:jc w:val="left"/>
              <w:rPr>
                <w:rFonts w:ascii="Segoe UI" w:eastAsia="宋体" w:hAnsi="Segoe UI" w:cs="Segoe UI"/>
                <w:b/>
                <w:bCs/>
                <w:color w:val="000000"/>
                <w:kern w:val="0"/>
                <w:sz w:val="18"/>
                <w:szCs w:val="18"/>
              </w:rPr>
            </w:pPr>
            <w:r w:rsidRPr="00BA3E11">
              <w:rPr>
                <w:rFonts w:ascii="Segoe UI" w:eastAsia="宋体" w:hAnsi="Segoe UI" w:cs="Segoe UI"/>
                <w:b/>
                <w:bCs/>
                <w:color w:val="000000"/>
                <w:kern w:val="0"/>
                <w:sz w:val="18"/>
                <w:szCs w:val="18"/>
              </w:rPr>
              <w:t>24</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At the start of the year, a company’s capital contributed by owners and retained earnings accounts had balances of $10,000 and $6,000, respectively. During the year, the following events took place:</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66"/>
              <w:gridCol w:w="2319"/>
            </w:tblGrid>
            <w:tr w:rsidR="00BA3E11" w:rsidRPr="00BA3E11">
              <w:trPr>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Net income earned</w:t>
                  </w:r>
                </w:p>
              </w:tc>
              <w:tc>
                <w:tcPr>
                  <w:tcW w:w="115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$4,000</w:t>
                  </w:r>
                </w:p>
              </w:tc>
            </w:tr>
            <w:tr w:rsidR="00BA3E11" w:rsidRPr="00BA3E11">
              <w:trPr>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Interest paid on debt</w:t>
                  </w:r>
                </w:p>
              </w:tc>
              <w:tc>
                <w:tcPr>
                  <w:tcW w:w="115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500</w:t>
                  </w:r>
                </w:p>
              </w:tc>
            </w:tr>
            <w:tr w:rsidR="00BA3E11" w:rsidRPr="00BA3E11">
              <w:trPr>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Repayment of long-term debt</w:t>
                  </w:r>
                </w:p>
              </w:tc>
              <w:tc>
                <w:tcPr>
                  <w:tcW w:w="115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$1,000</w:t>
                  </w:r>
                </w:p>
              </w:tc>
            </w:tr>
            <w:tr w:rsidR="00BA3E11" w:rsidRPr="00BA3E11">
              <w:trPr>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Proceeds from shares issued</w:t>
                  </w:r>
                </w:p>
              </w:tc>
              <w:tc>
                <w:tcPr>
                  <w:tcW w:w="115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$1,000</w:t>
                  </w:r>
                </w:p>
              </w:tc>
            </w:tr>
            <w:tr w:rsidR="00BA3E11" w:rsidRPr="00BA3E11">
              <w:trPr>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Dividends paid</w:t>
                  </w:r>
                </w:p>
              </w:tc>
              <w:tc>
                <w:tcPr>
                  <w:tcW w:w="115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600</w:t>
                  </w:r>
                </w:p>
              </w:tc>
            </w:tr>
          </w:tbl>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br/>
              <w:t xml:space="preserve">The end-of-year owners’ equity is </w:t>
            </w:r>
            <w:r w:rsidRPr="00BA3E11">
              <w:rPr>
                <w:rFonts w:ascii="Segoe UI" w:eastAsia="宋体" w:hAnsi="Segoe UI" w:cs="Segoe UI"/>
                <w:i/>
                <w:iCs/>
                <w:color w:val="333333"/>
                <w:kern w:val="0"/>
                <w:sz w:val="18"/>
                <w:szCs w:val="18"/>
              </w:rPr>
              <w:t>closest</w:t>
            </w:r>
            <w:r w:rsidRPr="00BA3E11">
              <w:rPr>
                <w:rFonts w:ascii="Segoe UI" w:eastAsia="宋体" w:hAnsi="Segoe UI" w:cs="Segoe UI"/>
                <w:color w:val="333333"/>
                <w:kern w:val="0"/>
                <w:sz w:val="18"/>
                <w:szCs w:val="18"/>
              </w:rPr>
              <w:t xml:space="preserve"> to:</w:t>
            </w: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61" type="#_x0000_t75" style="width:20.25pt;height:15.75pt" o:ole="">
                  <v:imagedata r:id="rId7" o:title=""/>
                </v:shape>
                <w:control r:id="rId78" w:name="DefaultOcxName43" w:shapeid="_x0000_i126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A.</w:t>
            </w:r>
            <w:r w:rsidRPr="00BA3E11">
              <w:rPr>
                <w:rFonts w:ascii="Segoe UI" w:eastAsia="宋体" w:hAnsi="Segoe UI" w:cs="Segoe UI"/>
                <w:color w:val="000000"/>
                <w:kern w:val="0"/>
                <w:sz w:val="18"/>
                <w:szCs w:val="18"/>
              </w:rPr>
              <w:t xml:space="preserve"> $19,400.</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60" type="#_x0000_t75" style="width:20.25pt;height:15.75pt" o:ole="">
                  <v:imagedata r:id="rId9" o:title=""/>
                </v:shape>
                <w:control r:id="rId79" w:name="DefaultOcxName123" w:shapeid="_x0000_i126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B.</w:t>
            </w:r>
            <w:r w:rsidRPr="00BA3E11">
              <w:rPr>
                <w:rFonts w:ascii="Segoe UI" w:eastAsia="宋体" w:hAnsi="Segoe UI" w:cs="Segoe UI"/>
                <w:color w:val="000000"/>
                <w:kern w:val="0"/>
                <w:sz w:val="18"/>
                <w:szCs w:val="18"/>
              </w:rPr>
              <w:t xml:space="preserve"> $19,900.</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59" type="#_x0000_t75" style="width:20.25pt;height:15.75pt" o:ole="">
                  <v:imagedata r:id="rId9" o:title=""/>
                </v:shape>
                <w:control r:id="rId80" w:name="DefaultOcxName223" w:shapeid="_x0000_i125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C.</w:t>
            </w:r>
            <w:r w:rsidRPr="00BA3E11">
              <w:rPr>
                <w:rFonts w:ascii="Segoe UI" w:eastAsia="宋体" w:hAnsi="Segoe UI" w:cs="Segoe UI"/>
                <w:color w:val="000000"/>
                <w:kern w:val="0"/>
                <w:sz w:val="18"/>
                <w:szCs w:val="18"/>
              </w:rPr>
              <w:t xml:space="preserve"> $20,400.</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noWrap/>
            <w:vAlign w:val="center"/>
            <w:hideMark/>
          </w:tcPr>
          <w:p w:rsidR="00BA3E11" w:rsidRPr="00BA3E11" w:rsidRDefault="00BA3E11" w:rsidP="00BA3E11">
            <w:pPr>
              <w:widowControl/>
              <w:jc w:val="center"/>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0" w:type="auto"/>
            <w:gridSpan w:val="5"/>
            <w:shd w:val="clear" w:color="auto" w:fill="FF6347"/>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b/>
                <w:bCs/>
                <w:color w:val="000080"/>
                <w:kern w:val="0"/>
                <w:sz w:val="16"/>
                <w:szCs w:val="16"/>
              </w:rPr>
              <w:t>Feedback:</w:t>
            </w:r>
            <w:r w:rsidRPr="00BA3E11">
              <w:rPr>
                <w:rFonts w:ascii="Segoe UI" w:eastAsia="宋体" w:hAnsi="Segoe UI" w:cs="Segoe UI"/>
                <w:color w:val="333333"/>
                <w:kern w:val="0"/>
                <w:sz w:val="18"/>
                <w:szCs w:val="18"/>
              </w:rPr>
              <w:t xml:space="preserve"> You have answered incorrectly.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Correct answer: </w:t>
            </w:r>
            <w:r w:rsidRPr="00BA3E11">
              <w:rPr>
                <w:rFonts w:ascii="Segoe UI" w:eastAsia="宋体" w:hAnsi="Segoe UI" w:cs="Segoe UI"/>
                <w:b/>
                <w:bCs/>
                <w:color w:val="333333"/>
                <w:kern w:val="0"/>
                <w:sz w:val="18"/>
                <w:szCs w:val="18"/>
              </w:rPr>
              <w:t>C</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"Financial Reporting Mechanics," Thomas R. Robinson, CFA, Jan </w:t>
            </w:r>
            <w:proofErr w:type="spellStart"/>
            <w:r w:rsidRPr="00BA3E11">
              <w:rPr>
                <w:rFonts w:ascii="Segoe UI" w:eastAsia="宋体" w:hAnsi="Segoe UI" w:cs="Segoe UI"/>
                <w:color w:val="333333"/>
                <w:kern w:val="0"/>
                <w:sz w:val="18"/>
                <w:szCs w:val="18"/>
              </w:rPr>
              <w:t>Hendrik</w:t>
            </w:r>
            <w:proofErr w:type="spellEnd"/>
            <w:r w:rsidRPr="00BA3E11">
              <w:rPr>
                <w:rFonts w:ascii="Segoe UI" w:eastAsia="宋体" w:hAnsi="Segoe UI" w:cs="Segoe UI"/>
                <w:color w:val="333333"/>
                <w:kern w:val="0"/>
                <w:sz w:val="18"/>
                <w:szCs w:val="18"/>
              </w:rPr>
              <w:t xml:space="preserve"> van </w:t>
            </w:r>
            <w:proofErr w:type="spellStart"/>
            <w:r w:rsidRPr="00BA3E11">
              <w:rPr>
                <w:rFonts w:ascii="Segoe UI" w:eastAsia="宋体" w:hAnsi="Segoe UI" w:cs="Segoe UI"/>
                <w:color w:val="333333"/>
                <w:kern w:val="0"/>
                <w:sz w:val="18"/>
                <w:szCs w:val="18"/>
              </w:rPr>
              <w:t>Greuning</w:t>
            </w:r>
            <w:proofErr w:type="spellEnd"/>
            <w:r w:rsidRPr="00BA3E11">
              <w:rPr>
                <w:rFonts w:ascii="Segoe UI" w:eastAsia="宋体" w:hAnsi="Segoe UI" w:cs="Segoe UI"/>
                <w:color w:val="333333"/>
                <w:kern w:val="0"/>
                <w:sz w:val="18"/>
                <w:szCs w:val="18"/>
              </w:rPr>
              <w:t xml:space="preserve">, CFA, Karen O'Connor </w:t>
            </w:r>
            <w:proofErr w:type="spellStart"/>
            <w:r w:rsidRPr="00BA3E11">
              <w:rPr>
                <w:rFonts w:ascii="Segoe UI" w:eastAsia="宋体" w:hAnsi="Segoe UI" w:cs="Segoe UI"/>
                <w:color w:val="333333"/>
                <w:kern w:val="0"/>
                <w:sz w:val="18"/>
                <w:szCs w:val="18"/>
              </w:rPr>
              <w:t>Rubsam</w:t>
            </w:r>
            <w:proofErr w:type="spellEnd"/>
            <w:r w:rsidRPr="00BA3E11">
              <w:rPr>
                <w:rFonts w:ascii="Segoe UI" w:eastAsia="宋体" w:hAnsi="Segoe UI" w:cs="Segoe UI"/>
                <w:color w:val="333333"/>
                <w:kern w:val="0"/>
                <w:sz w:val="18"/>
                <w:szCs w:val="18"/>
              </w:rPr>
              <w:t xml:space="preserve">, CFA, Elaine Henry, CFA, and Michael A. </w:t>
            </w:r>
            <w:proofErr w:type="spellStart"/>
            <w:r w:rsidRPr="00BA3E11">
              <w:rPr>
                <w:rFonts w:ascii="Segoe UI" w:eastAsia="宋体" w:hAnsi="Segoe UI" w:cs="Segoe UI"/>
                <w:color w:val="333333"/>
                <w:kern w:val="0"/>
                <w:sz w:val="18"/>
                <w:szCs w:val="18"/>
              </w:rPr>
              <w:t>Broihahn</w:t>
            </w:r>
            <w:proofErr w:type="spellEnd"/>
            <w:r w:rsidRPr="00BA3E11">
              <w:rPr>
                <w:rFonts w:ascii="Segoe UI" w:eastAsia="宋体" w:hAnsi="Segoe UI" w:cs="Segoe UI"/>
                <w:color w:val="333333"/>
                <w:kern w:val="0"/>
                <w:sz w:val="18"/>
                <w:szCs w:val="18"/>
              </w:rPr>
              <w:t>, CFA</w:t>
            </w:r>
            <w:r w:rsidRPr="00BA3E11">
              <w:rPr>
                <w:rFonts w:ascii="Segoe UI" w:eastAsia="宋体" w:hAnsi="Segoe UI" w:cs="Segoe UI"/>
                <w:color w:val="333333"/>
                <w:kern w:val="0"/>
                <w:sz w:val="18"/>
                <w:szCs w:val="18"/>
              </w:rPr>
              <w:br/>
              <w:t>2011 Modular Level I, Vol. 3, pp. 38–43</w:t>
            </w:r>
            <w:r w:rsidRPr="00BA3E11">
              <w:rPr>
                <w:rFonts w:ascii="Segoe UI" w:eastAsia="宋体" w:hAnsi="Segoe UI" w:cs="Segoe UI"/>
                <w:color w:val="333333"/>
                <w:kern w:val="0"/>
                <w:sz w:val="18"/>
                <w:szCs w:val="18"/>
              </w:rPr>
              <w:br/>
              <w:t>Study Session 7–30–b, e</w:t>
            </w:r>
            <w:r w:rsidRPr="00BA3E11">
              <w:rPr>
                <w:rFonts w:ascii="Segoe UI" w:eastAsia="宋体" w:hAnsi="Segoe UI" w:cs="Segoe UI"/>
                <w:color w:val="333333"/>
                <w:kern w:val="0"/>
                <w:sz w:val="18"/>
                <w:szCs w:val="18"/>
              </w:rPr>
              <w:br/>
              <w:t>Explain the accounting equation in its basic and expanded forms.</w:t>
            </w:r>
            <w:r w:rsidRPr="00BA3E11">
              <w:rPr>
                <w:rFonts w:ascii="Segoe UI" w:eastAsia="宋体" w:hAnsi="Segoe UI" w:cs="Segoe UI"/>
                <w:color w:val="333333"/>
                <w:kern w:val="0"/>
                <w:sz w:val="18"/>
                <w:szCs w:val="18"/>
              </w:rPr>
              <w:br/>
              <w:t>Explain the relationships among the income statement, balance sheet, statement of cash flows, and statement of owners' equity.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76"/>
              <w:gridCol w:w="2089"/>
              <w:gridCol w:w="1750"/>
            </w:tblGrid>
            <w:tr w:rsidR="00BA3E11" w:rsidRPr="00BA3E11">
              <w:trPr>
                <w:tblCellSpacing w:w="15" w:type="dxa"/>
              </w:trPr>
              <w:tc>
                <w:tcPr>
                  <w:tcW w:w="4125" w:type="dxa"/>
                  <w:gridSpan w:val="2"/>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Start-of-year capital contributed by owners</w:t>
                  </w:r>
                </w:p>
              </w:tc>
              <w:tc>
                <w:tcPr>
                  <w:tcW w:w="115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$10,000</w:t>
                  </w:r>
                </w:p>
              </w:tc>
            </w:tr>
            <w:tr w:rsidR="00BA3E11" w:rsidRPr="00BA3E11">
              <w:trPr>
                <w:tblCellSpacing w:w="15" w:type="dxa"/>
              </w:trPr>
              <w:tc>
                <w:tcPr>
                  <w:tcW w:w="4125" w:type="dxa"/>
                  <w:gridSpan w:val="2"/>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Additional shares issued</w:t>
                  </w:r>
                </w:p>
              </w:tc>
              <w:tc>
                <w:tcPr>
                  <w:tcW w:w="115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1,000</w:t>
                  </w:r>
                </w:p>
              </w:tc>
            </w:tr>
            <w:tr w:rsidR="00BA3E11" w:rsidRPr="00BA3E11">
              <w:trPr>
                <w:tblCellSpacing w:w="15" w:type="dxa"/>
              </w:trPr>
              <w:tc>
                <w:tcPr>
                  <w:tcW w:w="4125" w:type="dxa"/>
                  <w:gridSpan w:val="2"/>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Initial retained earnings</w:t>
                  </w:r>
                </w:p>
              </w:tc>
              <w:tc>
                <w:tcPr>
                  <w:tcW w:w="115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6,000</w:t>
                  </w:r>
                </w:p>
              </w:tc>
            </w:tr>
            <w:tr w:rsidR="00BA3E11" w:rsidRPr="00BA3E11">
              <w:trPr>
                <w:tblCellSpacing w:w="15" w:type="dxa"/>
              </w:trPr>
              <w:tc>
                <w:tcPr>
                  <w:tcW w:w="2730"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Net income</w:t>
                  </w:r>
                </w:p>
              </w:tc>
              <w:tc>
                <w:tcPr>
                  <w:tcW w:w="139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4,000</w:t>
                  </w:r>
                </w:p>
              </w:tc>
              <w:tc>
                <w:tcPr>
                  <w:tcW w:w="115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r>
            <w:tr w:rsidR="00BA3E11" w:rsidRPr="00BA3E11">
              <w:trPr>
                <w:tblCellSpacing w:w="15" w:type="dxa"/>
              </w:trPr>
              <w:tc>
                <w:tcPr>
                  <w:tcW w:w="2730"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Dividends paid</w:t>
                  </w:r>
                </w:p>
              </w:tc>
              <w:tc>
                <w:tcPr>
                  <w:tcW w:w="139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u w:val="single"/>
                    </w:rPr>
                    <w:t>(600)</w:t>
                  </w:r>
                </w:p>
              </w:tc>
              <w:tc>
                <w:tcPr>
                  <w:tcW w:w="115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r>
            <w:tr w:rsidR="00BA3E11" w:rsidRPr="00BA3E11">
              <w:trPr>
                <w:tblCellSpacing w:w="15" w:type="dxa"/>
              </w:trPr>
              <w:tc>
                <w:tcPr>
                  <w:tcW w:w="2730"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Increase in retained earnings</w:t>
                  </w:r>
                </w:p>
              </w:tc>
              <w:tc>
                <w:tcPr>
                  <w:tcW w:w="139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3,400</w:t>
                  </w:r>
                </w:p>
              </w:tc>
              <w:tc>
                <w:tcPr>
                  <w:tcW w:w="115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u w:val="single"/>
                    </w:rPr>
                    <w:t>3,400</w:t>
                  </w:r>
                </w:p>
              </w:tc>
            </w:tr>
            <w:tr w:rsidR="00BA3E11" w:rsidRPr="00BA3E11">
              <w:trPr>
                <w:tblCellSpacing w:w="15" w:type="dxa"/>
              </w:trPr>
              <w:tc>
                <w:tcPr>
                  <w:tcW w:w="4125" w:type="dxa"/>
                  <w:gridSpan w:val="2"/>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Ending owners' equity</w:t>
                  </w:r>
                </w:p>
              </w:tc>
              <w:tc>
                <w:tcPr>
                  <w:tcW w:w="1155" w:type="dxa"/>
                  <w:tcBorders>
                    <w:top w:val="outset" w:sz="6" w:space="0" w:color="auto"/>
                    <w:left w:val="outset" w:sz="6" w:space="0" w:color="auto"/>
                    <w:bottom w:val="outset" w:sz="6" w:space="0" w:color="auto"/>
                    <w:right w:val="outset" w:sz="6" w:space="0" w:color="auto"/>
                  </w:tcBorders>
                  <w:vAlign w:val="center"/>
                  <w:hideMark/>
                </w:tcPr>
                <w:p w:rsidR="00BA3E11" w:rsidRPr="00BA3E11" w:rsidRDefault="00BA3E11" w:rsidP="00BA3E11">
                  <w:pPr>
                    <w:widowControl/>
                    <w:jc w:val="right"/>
                    <w:rPr>
                      <w:rFonts w:ascii="Segoe UI" w:eastAsia="宋体" w:hAnsi="Segoe UI" w:cs="Segoe UI"/>
                      <w:color w:val="333333"/>
                      <w:kern w:val="0"/>
                      <w:sz w:val="18"/>
                      <w:szCs w:val="18"/>
                    </w:rPr>
                  </w:pPr>
                  <w:r w:rsidRPr="00BA3E11">
                    <w:rPr>
                      <w:rFonts w:ascii="Segoe UI" w:eastAsia="宋体" w:hAnsi="Segoe UI" w:cs="Segoe UI"/>
                      <w:b/>
                      <w:bCs/>
                      <w:color w:val="333333"/>
                      <w:kern w:val="0"/>
                      <w:sz w:val="18"/>
                      <w:szCs w:val="18"/>
                      <w:u w:val="single"/>
                    </w:rPr>
                    <w:t>$20,400</w:t>
                  </w:r>
                </w:p>
              </w:tc>
            </w:tr>
          </w:tbl>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r>
    </w:tbl>
    <w:p w:rsidR="00BA3E11" w:rsidRDefault="00BA3E11">
      <w:pPr>
        <w:rPr>
          <w:rFonts w:hint="eastAsia"/>
        </w:rPr>
      </w:pPr>
    </w:p>
    <w:tbl>
      <w:tblPr>
        <w:tblW w:w="5000" w:type="pct"/>
        <w:tblCellSpacing w:w="15" w:type="dxa"/>
        <w:tblCellMar>
          <w:top w:w="30" w:type="dxa"/>
          <w:left w:w="30" w:type="dxa"/>
          <w:bottom w:w="30" w:type="dxa"/>
          <w:right w:w="30" w:type="dxa"/>
        </w:tblCellMar>
        <w:tblLook w:val="04A0"/>
      </w:tblPr>
      <w:tblGrid>
        <w:gridCol w:w="420"/>
        <w:gridCol w:w="793"/>
        <w:gridCol w:w="6940"/>
        <w:gridCol w:w="96"/>
        <w:gridCol w:w="96"/>
        <w:gridCol w:w="111"/>
      </w:tblGrid>
      <w:tr w:rsidR="00BA3E11" w:rsidRPr="00BA3E11" w:rsidTr="00BA3E1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A3E11" w:rsidRPr="00BA3E11" w:rsidRDefault="00BA3E11" w:rsidP="00BA3E11">
            <w:pPr>
              <w:widowControl/>
              <w:jc w:val="left"/>
              <w:rPr>
                <w:rFonts w:ascii="Segoe UI" w:eastAsia="宋体" w:hAnsi="Segoe UI" w:cs="Segoe UI"/>
                <w:b/>
                <w:bCs/>
                <w:color w:val="000000"/>
                <w:kern w:val="0"/>
                <w:sz w:val="18"/>
                <w:szCs w:val="18"/>
              </w:rPr>
            </w:pPr>
            <w:r w:rsidRPr="00BA3E11">
              <w:rPr>
                <w:rFonts w:ascii="Segoe UI" w:eastAsia="宋体" w:hAnsi="Segoe UI" w:cs="Segoe UI"/>
                <w:b/>
                <w:bCs/>
                <w:color w:val="000000"/>
                <w:kern w:val="0"/>
                <w:sz w:val="18"/>
                <w:szCs w:val="18"/>
              </w:rPr>
              <w:t>25</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xml:space="preserve">A retailer provides credit cards only to its most valued customers who pass a rigorous credit check. A credit card customer ordered an item from the retailer in May. The item was shipped and delivered in July. The item appeared on the customer’s July credit card statement and was paid in full by the due date in August. The </w:t>
            </w:r>
            <w:r w:rsidRPr="00BA3E11">
              <w:rPr>
                <w:rFonts w:ascii="Segoe UI" w:eastAsia="宋体" w:hAnsi="Segoe UI" w:cs="Segoe UI"/>
                <w:i/>
                <w:iCs/>
                <w:color w:val="333333"/>
                <w:kern w:val="0"/>
                <w:sz w:val="18"/>
                <w:szCs w:val="18"/>
              </w:rPr>
              <w:t>most appropriate</w:t>
            </w:r>
            <w:r w:rsidRPr="00BA3E11">
              <w:rPr>
                <w:rFonts w:ascii="Segoe UI" w:eastAsia="宋体" w:hAnsi="Segoe UI" w:cs="Segoe UI"/>
                <w:color w:val="333333"/>
                <w:kern w:val="0"/>
                <w:sz w:val="18"/>
                <w:szCs w:val="18"/>
              </w:rPr>
              <w:t xml:space="preserve"> month in which the retailer should recognize the revenue is:</w:t>
            </w: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70" type="#_x0000_t75" style="width:20.25pt;height:15.75pt" o:ole="">
                  <v:imagedata r:id="rId7" o:title=""/>
                </v:shape>
                <w:control r:id="rId81" w:name="DefaultOcxName44" w:shapeid="_x0000_i127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A.</w:t>
            </w:r>
            <w:r w:rsidRPr="00BA3E11">
              <w:rPr>
                <w:rFonts w:ascii="Segoe UI" w:eastAsia="宋体" w:hAnsi="Segoe UI" w:cs="Segoe UI"/>
                <w:color w:val="000000"/>
                <w:kern w:val="0"/>
                <w:sz w:val="18"/>
                <w:szCs w:val="18"/>
              </w:rPr>
              <w:t xml:space="preserve"> May.</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69" type="#_x0000_t75" style="width:20.25pt;height:15.75pt" o:ole="">
                  <v:imagedata r:id="rId9" o:title=""/>
                </v:shape>
                <w:control r:id="rId82" w:name="DefaultOcxName124" w:shapeid="_x0000_i126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B.</w:t>
            </w:r>
            <w:r w:rsidRPr="00BA3E11">
              <w:rPr>
                <w:rFonts w:ascii="Segoe UI" w:eastAsia="宋体" w:hAnsi="Segoe UI" w:cs="Segoe UI"/>
                <w:color w:val="000000"/>
                <w:kern w:val="0"/>
                <w:sz w:val="18"/>
                <w:szCs w:val="18"/>
              </w:rPr>
              <w:t xml:space="preserve"> July.</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68" type="#_x0000_t75" style="width:20.25pt;height:15.75pt" o:ole="">
                  <v:imagedata r:id="rId9" o:title=""/>
                </v:shape>
                <w:control r:id="rId83" w:name="DefaultOcxName224" w:shapeid="_x0000_i126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C.</w:t>
            </w:r>
            <w:r w:rsidRPr="00BA3E11">
              <w:rPr>
                <w:rFonts w:ascii="Segoe UI" w:eastAsia="宋体" w:hAnsi="Segoe UI" w:cs="Segoe UI"/>
                <w:color w:val="000000"/>
                <w:kern w:val="0"/>
                <w:sz w:val="18"/>
                <w:szCs w:val="18"/>
              </w:rPr>
              <w:t xml:space="preserve"> August.</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noWrap/>
            <w:vAlign w:val="center"/>
            <w:hideMark/>
          </w:tcPr>
          <w:p w:rsidR="00BA3E11" w:rsidRPr="00BA3E11" w:rsidRDefault="00BA3E11" w:rsidP="00BA3E11">
            <w:pPr>
              <w:widowControl/>
              <w:jc w:val="center"/>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0" w:type="auto"/>
            <w:gridSpan w:val="5"/>
            <w:shd w:val="clear" w:color="auto" w:fill="FF6347"/>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b/>
                <w:bCs/>
                <w:color w:val="000080"/>
                <w:kern w:val="0"/>
                <w:sz w:val="16"/>
                <w:szCs w:val="16"/>
              </w:rPr>
              <w:t>Feedback:</w:t>
            </w:r>
            <w:r w:rsidRPr="00BA3E11">
              <w:rPr>
                <w:rFonts w:ascii="Segoe UI" w:eastAsia="宋体" w:hAnsi="Segoe UI" w:cs="Segoe UI"/>
                <w:color w:val="333333"/>
                <w:kern w:val="0"/>
                <w:sz w:val="18"/>
                <w:szCs w:val="18"/>
              </w:rPr>
              <w:t xml:space="preserve"> You have answered incorrectly.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Correct answer: </w:t>
            </w:r>
            <w:r w:rsidRPr="00BA3E11">
              <w:rPr>
                <w:rFonts w:ascii="Segoe UI" w:eastAsia="宋体" w:hAnsi="Segoe UI" w:cs="Segoe UI"/>
                <w:b/>
                <w:bCs/>
                <w:color w:val="333333"/>
                <w:kern w:val="0"/>
                <w:sz w:val="18"/>
                <w:szCs w:val="18"/>
              </w:rPr>
              <w:t>B</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lastRenderedPageBreak/>
              <w:t xml:space="preserve">"Understanding the Income Statement," Thomas R. Robinson, CFA, Jan </w:t>
            </w:r>
            <w:proofErr w:type="spellStart"/>
            <w:r w:rsidRPr="00BA3E11">
              <w:rPr>
                <w:rFonts w:ascii="Segoe UI" w:eastAsia="宋体" w:hAnsi="Segoe UI" w:cs="Segoe UI"/>
                <w:color w:val="333333"/>
                <w:kern w:val="0"/>
                <w:sz w:val="18"/>
                <w:szCs w:val="18"/>
              </w:rPr>
              <w:t>Hendrik</w:t>
            </w:r>
            <w:proofErr w:type="spellEnd"/>
            <w:r w:rsidRPr="00BA3E11">
              <w:rPr>
                <w:rFonts w:ascii="Segoe UI" w:eastAsia="宋体" w:hAnsi="Segoe UI" w:cs="Segoe UI"/>
                <w:color w:val="333333"/>
                <w:kern w:val="0"/>
                <w:sz w:val="18"/>
                <w:szCs w:val="18"/>
              </w:rPr>
              <w:t xml:space="preserve"> van </w:t>
            </w:r>
            <w:proofErr w:type="spellStart"/>
            <w:r w:rsidRPr="00BA3E11">
              <w:rPr>
                <w:rFonts w:ascii="Segoe UI" w:eastAsia="宋体" w:hAnsi="Segoe UI" w:cs="Segoe UI"/>
                <w:color w:val="333333"/>
                <w:kern w:val="0"/>
                <w:sz w:val="18"/>
                <w:szCs w:val="18"/>
              </w:rPr>
              <w:t>Greuning</w:t>
            </w:r>
            <w:proofErr w:type="spellEnd"/>
            <w:r w:rsidRPr="00BA3E11">
              <w:rPr>
                <w:rFonts w:ascii="Segoe UI" w:eastAsia="宋体" w:hAnsi="Segoe UI" w:cs="Segoe UI"/>
                <w:color w:val="333333"/>
                <w:kern w:val="0"/>
                <w:sz w:val="18"/>
                <w:szCs w:val="18"/>
              </w:rPr>
              <w:t xml:space="preserve">, CFA, Elaine Henry, CFA, and Michael A. </w:t>
            </w:r>
            <w:proofErr w:type="spellStart"/>
            <w:r w:rsidRPr="00BA3E11">
              <w:rPr>
                <w:rFonts w:ascii="Segoe UI" w:eastAsia="宋体" w:hAnsi="Segoe UI" w:cs="Segoe UI"/>
                <w:color w:val="333333"/>
                <w:kern w:val="0"/>
                <w:sz w:val="18"/>
                <w:szCs w:val="18"/>
              </w:rPr>
              <w:t>Broihahn</w:t>
            </w:r>
            <w:proofErr w:type="spellEnd"/>
            <w:r w:rsidRPr="00BA3E11">
              <w:rPr>
                <w:rFonts w:ascii="Segoe UI" w:eastAsia="宋体" w:hAnsi="Segoe UI" w:cs="Segoe UI"/>
                <w:color w:val="333333"/>
                <w:kern w:val="0"/>
                <w:sz w:val="18"/>
                <w:szCs w:val="18"/>
              </w:rPr>
              <w:t>, CFA</w:t>
            </w:r>
            <w:r w:rsidRPr="00BA3E11">
              <w:rPr>
                <w:rFonts w:ascii="Segoe UI" w:eastAsia="宋体" w:hAnsi="Segoe UI" w:cs="Segoe UI"/>
                <w:color w:val="333333"/>
                <w:kern w:val="0"/>
                <w:sz w:val="18"/>
                <w:szCs w:val="18"/>
              </w:rPr>
              <w:br/>
              <w:t>2011 Modular Level I, Vol. 3, pp. 144–145</w:t>
            </w:r>
            <w:r w:rsidRPr="00BA3E11">
              <w:rPr>
                <w:rFonts w:ascii="Segoe UI" w:eastAsia="宋体" w:hAnsi="Segoe UI" w:cs="Segoe UI"/>
                <w:color w:val="333333"/>
                <w:kern w:val="0"/>
                <w:sz w:val="18"/>
                <w:szCs w:val="18"/>
              </w:rPr>
              <w:br/>
              <w:t>Study Session 8–32–b</w:t>
            </w:r>
            <w:r w:rsidRPr="00BA3E11">
              <w:rPr>
                <w:rFonts w:ascii="Segoe UI" w:eastAsia="宋体" w:hAnsi="Segoe UI" w:cs="Segoe UI"/>
                <w:color w:val="333333"/>
                <w:kern w:val="0"/>
                <w:sz w:val="18"/>
                <w:szCs w:val="18"/>
              </w:rPr>
              <w:br/>
              <w:t>Explain the general principles of revenue recognition and accrual accounting, demonstrate specific revenue recognition applications (including accounting for long-term contracts, installment sales, barter transactions, and gross and net reporting of revenue), and discuss the implications of revenue recognition principles for financial analysis.</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The appropriate time to recognize revenue would be in the month of July, the risk and rewards have been transferred to the buyer (shipped and delivered), the revenue can be reliably measured, and it is probable that the economic benefits will flow to the seller (the rigorous credit check was completed). Neither the actual payment date nor the credit card statement date is relevant here. </w:t>
            </w:r>
          </w:p>
        </w:tc>
      </w:tr>
    </w:tbl>
    <w:p w:rsidR="00BA3E11" w:rsidRDefault="00BA3E11">
      <w:pPr>
        <w:rPr>
          <w:rFonts w:hint="eastAsia"/>
        </w:rPr>
      </w:pPr>
    </w:p>
    <w:tbl>
      <w:tblPr>
        <w:tblW w:w="5000" w:type="pct"/>
        <w:tblCellSpacing w:w="15" w:type="dxa"/>
        <w:tblCellMar>
          <w:top w:w="30" w:type="dxa"/>
          <w:left w:w="30" w:type="dxa"/>
          <w:bottom w:w="30" w:type="dxa"/>
          <w:right w:w="30" w:type="dxa"/>
        </w:tblCellMar>
        <w:tblLook w:val="04A0"/>
      </w:tblPr>
      <w:tblGrid>
        <w:gridCol w:w="420"/>
        <w:gridCol w:w="759"/>
        <w:gridCol w:w="6974"/>
        <w:gridCol w:w="96"/>
        <w:gridCol w:w="96"/>
        <w:gridCol w:w="111"/>
      </w:tblGrid>
      <w:tr w:rsidR="00BA3E11" w:rsidRPr="00BA3E11" w:rsidTr="00BA3E1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A3E11" w:rsidRPr="00BA3E11" w:rsidRDefault="00BA3E11" w:rsidP="00BA3E11">
            <w:pPr>
              <w:widowControl/>
              <w:jc w:val="left"/>
              <w:rPr>
                <w:rFonts w:ascii="Segoe UI" w:eastAsia="宋体" w:hAnsi="Segoe UI" w:cs="Segoe UI"/>
                <w:b/>
                <w:bCs/>
                <w:color w:val="000000"/>
                <w:kern w:val="0"/>
                <w:sz w:val="18"/>
                <w:szCs w:val="18"/>
              </w:rPr>
            </w:pPr>
            <w:r w:rsidRPr="00BA3E11">
              <w:rPr>
                <w:rFonts w:ascii="Segoe UI" w:eastAsia="宋体" w:hAnsi="Segoe UI" w:cs="Segoe UI"/>
                <w:b/>
                <w:bCs/>
                <w:color w:val="000000"/>
                <w:kern w:val="0"/>
                <w:sz w:val="18"/>
                <w:szCs w:val="18"/>
              </w:rPr>
              <w:t>26</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xml:space="preserve">Which of the following will </w:t>
            </w:r>
            <w:r w:rsidRPr="00BA3E11">
              <w:rPr>
                <w:rFonts w:ascii="Segoe UI" w:eastAsia="宋体" w:hAnsi="Segoe UI" w:cs="Segoe UI"/>
                <w:i/>
                <w:iCs/>
                <w:color w:val="333333"/>
                <w:kern w:val="0"/>
                <w:sz w:val="18"/>
                <w:szCs w:val="18"/>
              </w:rPr>
              <w:t>most likely</w:t>
            </w:r>
            <w:r w:rsidRPr="00BA3E11">
              <w:rPr>
                <w:rFonts w:ascii="Segoe UI" w:eastAsia="宋体" w:hAnsi="Segoe UI" w:cs="Segoe UI"/>
                <w:color w:val="333333"/>
                <w:kern w:val="0"/>
                <w:sz w:val="18"/>
                <w:szCs w:val="18"/>
              </w:rPr>
              <w:t xml:space="preserve"> result in an increase in a company’s sustainable growth rate?</w:t>
            </w: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79" type="#_x0000_t75" style="width:20.25pt;height:15.75pt" o:ole="">
                  <v:imagedata r:id="rId7" o:title=""/>
                </v:shape>
                <w:control r:id="rId84" w:name="DefaultOcxName45" w:shapeid="_x0000_i127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A.</w:t>
            </w:r>
            <w:r w:rsidRPr="00BA3E11">
              <w:rPr>
                <w:rFonts w:ascii="Segoe UI" w:eastAsia="宋体" w:hAnsi="Segoe UI" w:cs="Segoe UI"/>
                <w:color w:val="000000"/>
                <w:kern w:val="0"/>
                <w:sz w:val="18"/>
                <w:szCs w:val="18"/>
              </w:rPr>
              <w:t xml:space="preserve"> Higher tax burden ratio</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78" type="#_x0000_t75" style="width:20.25pt;height:15.75pt" o:ole="">
                  <v:imagedata r:id="rId9" o:title=""/>
                </v:shape>
                <w:control r:id="rId85" w:name="DefaultOcxName125" w:shapeid="_x0000_i127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B.</w:t>
            </w:r>
            <w:r w:rsidRPr="00BA3E11">
              <w:rPr>
                <w:rFonts w:ascii="Segoe UI" w:eastAsia="宋体" w:hAnsi="Segoe UI" w:cs="Segoe UI"/>
                <w:color w:val="000000"/>
                <w:kern w:val="0"/>
                <w:sz w:val="18"/>
                <w:szCs w:val="18"/>
              </w:rPr>
              <w:t xml:space="preserve"> Lower interest burden ratio</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A3E11" w:rsidRPr="00BA3E11" w:rsidRDefault="00BA3E11" w:rsidP="00BA3E11">
            <w:pPr>
              <w:widowControl/>
              <w:jc w:val="center"/>
              <w:rPr>
                <w:rFonts w:ascii="Segoe UI" w:eastAsia="宋体" w:hAnsi="Segoe UI" w:cs="Segoe UI"/>
                <w:color w:val="000000"/>
                <w:kern w:val="0"/>
                <w:sz w:val="18"/>
                <w:szCs w:val="18"/>
              </w:rPr>
            </w:pPr>
            <w:r w:rsidRPr="00BA3E11">
              <w:rPr>
                <w:rFonts w:ascii="Segoe UI" w:eastAsia="宋体" w:hAnsi="Segoe UI" w:cs="Segoe UI"/>
                <w:color w:val="000000"/>
                <w:kern w:val="0"/>
                <w:sz w:val="18"/>
                <w:szCs w:val="18"/>
              </w:rPr>
              <w:object w:dxaOrig="1440" w:dyaOrig="1440">
                <v:shape id="_x0000_i1277" type="#_x0000_t75" style="width:20.25pt;height:15.75pt" o:ole="">
                  <v:imagedata r:id="rId9" o:title=""/>
                </v:shape>
                <w:control r:id="rId86" w:name="DefaultOcxName225" w:shapeid="_x0000_i127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A3E11" w:rsidRPr="00BA3E11" w:rsidRDefault="00BA3E11" w:rsidP="00BA3E11">
            <w:pPr>
              <w:widowControl/>
              <w:jc w:val="left"/>
              <w:rPr>
                <w:rFonts w:ascii="Segoe UI" w:eastAsia="宋体" w:hAnsi="Segoe UI" w:cs="Segoe UI"/>
                <w:color w:val="000000"/>
                <w:kern w:val="0"/>
                <w:sz w:val="18"/>
                <w:szCs w:val="18"/>
              </w:rPr>
            </w:pPr>
            <w:r w:rsidRPr="00BA3E11">
              <w:rPr>
                <w:rFonts w:ascii="Segoe UI" w:eastAsia="宋体" w:hAnsi="Segoe UI" w:cs="Segoe UI"/>
                <w:b/>
                <w:bCs/>
                <w:color w:val="000000"/>
                <w:kern w:val="0"/>
                <w:sz w:val="18"/>
                <w:szCs w:val="18"/>
              </w:rPr>
              <w:t>C.</w:t>
            </w:r>
            <w:r w:rsidRPr="00BA3E11">
              <w:rPr>
                <w:rFonts w:ascii="Segoe UI" w:eastAsia="宋体" w:hAnsi="Segoe UI" w:cs="Segoe UI"/>
                <w:color w:val="000000"/>
                <w:kern w:val="0"/>
                <w:sz w:val="18"/>
                <w:szCs w:val="18"/>
              </w:rPr>
              <w:t xml:space="preserve"> Higher dividend payout ratio</w:t>
            </w: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c>
          <w:tcPr>
            <w:tcW w:w="0" w:type="auto"/>
            <w:vAlign w:val="center"/>
            <w:hideMark/>
          </w:tcPr>
          <w:p w:rsidR="00BA3E11" w:rsidRPr="00BA3E11" w:rsidRDefault="00BA3E11" w:rsidP="00BA3E11">
            <w:pPr>
              <w:widowControl/>
              <w:jc w:val="left"/>
              <w:rPr>
                <w:rFonts w:ascii="Times New Roman" w:eastAsia="Times New Roman" w:hAnsi="Times New Roman" w:cs="Times New Roman"/>
                <w:kern w:val="0"/>
                <w:sz w:val="20"/>
                <w:szCs w:val="20"/>
              </w:rPr>
            </w:pPr>
          </w:p>
        </w:tc>
      </w:tr>
      <w:tr w:rsidR="00BA3E11" w:rsidRPr="00BA3E11" w:rsidTr="00BA3E11">
        <w:trPr>
          <w:trHeight w:val="525"/>
          <w:tblCellSpacing w:w="15" w:type="dxa"/>
        </w:trPr>
        <w:tc>
          <w:tcPr>
            <w:tcW w:w="375" w:type="dxa"/>
            <w:noWrap/>
            <w:vAlign w:val="center"/>
            <w:hideMark/>
          </w:tcPr>
          <w:p w:rsidR="00BA3E11" w:rsidRPr="00BA3E11" w:rsidRDefault="00BA3E11" w:rsidP="00BA3E11">
            <w:pPr>
              <w:widowControl/>
              <w:jc w:val="center"/>
              <w:rPr>
                <w:rFonts w:ascii="Segoe UI" w:eastAsia="宋体" w:hAnsi="Segoe UI" w:cs="Segoe UI"/>
                <w:color w:val="333333"/>
                <w:kern w:val="0"/>
                <w:sz w:val="18"/>
                <w:szCs w:val="18"/>
              </w:rPr>
            </w:pPr>
            <w:r w:rsidRPr="00BA3E11">
              <w:rPr>
                <w:rFonts w:ascii="Segoe UI" w:eastAsia="宋体" w:hAnsi="Segoe UI" w:cs="Segoe UI"/>
                <w:color w:val="333333"/>
                <w:kern w:val="0"/>
                <w:sz w:val="18"/>
                <w:szCs w:val="18"/>
              </w:rPr>
              <w:t> </w:t>
            </w:r>
          </w:p>
        </w:tc>
        <w:tc>
          <w:tcPr>
            <w:tcW w:w="0" w:type="auto"/>
            <w:gridSpan w:val="5"/>
            <w:shd w:val="clear" w:color="auto" w:fill="9ACD32"/>
            <w:vAlign w:val="center"/>
            <w:hideMark/>
          </w:tcPr>
          <w:p w:rsidR="00BA3E11" w:rsidRPr="00BA3E11" w:rsidRDefault="00BA3E11" w:rsidP="00BA3E11">
            <w:pPr>
              <w:widowControl/>
              <w:jc w:val="left"/>
              <w:rPr>
                <w:rFonts w:ascii="Segoe UI" w:eastAsia="宋体" w:hAnsi="Segoe UI" w:cs="Segoe UI"/>
                <w:color w:val="333333"/>
                <w:kern w:val="0"/>
                <w:sz w:val="18"/>
                <w:szCs w:val="18"/>
              </w:rPr>
            </w:pPr>
            <w:r w:rsidRPr="00BA3E11">
              <w:rPr>
                <w:rFonts w:ascii="Segoe UI" w:eastAsia="宋体" w:hAnsi="Segoe UI" w:cs="Segoe UI"/>
                <w:b/>
                <w:bCs/>
                <w:color w:val="000080"/>
                <w:kern w:val="0"/>
                <w:sz w:val="16"/>
                <w:szCs w:val="16"/>
              </w:rPr>
              <w:t>Feedback:</w:t>
            </w:r>
            <w:r w:rsidRPr="00BA3E11">
              <w:rPr>
                <w:rFonts w:ascii="Segoe UI" w:eastAsia="宋体" w:hAnsi="Segoe UI" w:cs="Segoe UI"/>
                <w:color w:val="333333"/>
                <w:kern w:val="0"/>
                <w:sz w:val="18"/>
                <w:szCs w:val="18"/>
              </w:rPr>
              <w:t xml:space="preserve"> You have answered correctly.</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Correct answer: </w:t>
            </w:r>
            <w:r w:rsidRPr="00BA3E11">
              <w:rPr>
                <w:rFonts w:ascii="Segoe UI" w:eastAsia="宋体" w:hAnsi="Segoe UI" w:cs="Segoe UI"/>
                <w:b/>
                <w:bCs/>
                <w:color w:val="333333"/>
                <w:kern w:val="0"/>
                <w:sz w:val="18"/>
                <w:szCs w:val="18"/>
              </w:rPr>
              <w:t>A</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t xml:space="preserve">"Financial Analysis Techniques," Thomas R. Robinson, CFA, Jan </w:t>
            </w:r>
            <w:proofErr w:type="spellStart"/>
            <w:r w:rsidRPr="00BA3E11">
              <w:rPr>
                <w:rFonts w:ascii="Segoe UI" w:eastAsia="宋体" w:hAnsi="Segoe UI" w:cs="Segoe UI"/>
                <w:color w:val="333333"/>
                <w:kern w:val="0"/>
                <w:sz w:val="18"/>
                <w:szCs w:val="18"/>
              </w:rPr>
              <w:t>Hendrik</w:t>
            </w:r>
            <w:proofErr w:type="spellEnd"/>
            <w:r w:rsidRPr="00BA3E11">
              <w:rPr>
                <w:rFonts w:ascii="Segoe UI" w:eastAsia="宋体" w:hAnsi="Segoe UI" w:cs="Segoe UI"/>
                <w:color w:val="333333"/>
                <w:kern w:val="0"/>
                <w:sz w:val="18"/>
                <w:szCs w:val="18"/>
              </w:rPr>
              <w:t xml:space="preserve"> van </w:t>
            </w:r>
            <w:proofErr w:type="spellStart"/>
            <w:r w:rsidRPr="00BA3E11">
              <w:rPr>
                <w:rFonts w:ascii="Segoe UI" w:eastAsia="宋体" w:hAnsi="Segoe UI" w:cs="Segoe UI"/>
                <w:color w:val="333333"/>
                <w:kern w:val="0"/>
                <w:sz w:val="18"/>
                <w:szCs w:val="18"/>
              </w:rPr>
              <w:t>Greuning</w:t>
            </w:r>
            <w:proofErr w:type="spellEnd"/>
            <w:r w:rsidRPr="00BA3E11">
              <w:rPr>
                <w:rFonts w:ascii="Segoe UI" w:eastAsia="宋体" w:hAnsi="Segoe UI" w:cs="Segoe UI"/>
                <w:color w:val="333333"/>
                <w:kern w:val="0"/>
                <w:sz w:val="18"/>
                <w:szCs w:val="18"/>
              </w:rPr>
              <w:t xml:space="preserve">, CFA, Elaine Henry, CFA, and Michael A. </w:t>
            </w:r>
            <w:proofErr w:type="spellStart"/>
            <w:r w:rsidRPr="00BA3E11">
              <w:rPr>
                <w:rFonts w:ascii="Segoe UI" w:eastAsia="宋体" w:hAnsi="Segoe UI" w:cs="Segoe UI"/>
                <w:color w:val="333333"/>
                <w:kern w:val="0"/>
                <w:sz w:val="18"/>
                <w:szCs w:val="18"/>
              </w:rPr>
              <w:t>Broihahn</w:t>
            </w:r>
            <w:proofErr w:type="spellEnd"/>
            <w:r w:rsidRPr="00BA3E11">
              <w:rPr>
                <w:rFonts w:ascii="Segoe UI" w:eastAsia="宋体" w:hAnsi="Segoe UI" w:cs="Segoe UI"/>
                <w:color w:val="333333"/>
                <w:kern w:val="0"/>
                <w:sz w:val="18"/>
                <w:szCs w:val="18"/>
              </w:rPr>
              <w:t xml:space="preserve">, CFA </w:t>
            </w:r>
            <w:r w:rsidRPr="00BA3E11">
              <w:rPr>
                <w:rFonts w:ascii="Segoe UI" w:eastAsia="宋体" w:hAnsi="Segoe UI" w:cs="Segoe UI"/>
                <w:color w:val="333333"/>
                <w:kern w:val="0"/>
                <w:sz w:val="18"/>
                <w:szCs w:val="18"/>
              </w:rPr>
              <w:br/>
              <w:t>2011 Modular Level I, Vol. 3, pp. 342–347, 349, 351</w:t>
            </w:r>
            <w:r w:rsidRPr="00BA3E11">
              <w:rPr>
                <w:rFonts w:ascii="Segoe UI" w:eastAsia="宋体" w:hAnsi="Segoe UI" w:cs="Segoe UI"/>
                <w:color w:val="333333"/>
                <w:kern w:val="0"/>
                <w:sz w:val="18"/>
                <w:szCs w:val="18"/>
              </w:rPr>
              <w:br/>
              <w:t xml:space="preserve">"Cost of Capital," Yves </w:t>
            </w:r>
            <w:proofErr w:type="spellStart"/>
            <w:r w:rsidRPr="00BA3E11">
              <w:rPr>
                <w:rFonts w:ascii="Segoe UI" w:eastAsia="宋体" w:hAnsi="Segoe UI" w:cs="Segoe UI"/>
                <w:color w:val="333333"/>
                <w:kern w:val="0"/>
                <w:sz w:val="18"/>
                <w:szCs w:val="18"/>
              </w:rPr>
              <w:t>Courtois</w:t>
            </w:r>
            <w:proofErr w:type="spellEnd"/>
            <w:r w:rsidRPr="00BA3E11">
              <w:rPr>
                <w:rFonts w:ascii="Segoe UI" w:eastAsia="宋体" w:hAnsi="Segoe UI" w:cs="Segoe UI"/>
                <w:color w:val="333333"/>
                <w:kern w:val="0"/>
                <w:sz w:val="18"/>
                <w:szCs w:val="18"/>
              </w:rPr>
              <w:t>, CFA, Gene C. Lai, and Pamela Peterson Drake, CFA</w:t>
            </w:r>
            <w:r w:rsidRPr="00BA3E11">
              <w:rPr>
                <w:rFonts w:ascii="Segoe UI" w:eastAsia="宋体" w:hAnsi="Segoe UI" w:cs="Segoe UI"/>
                <w:color w:val="333333"/>
                <w:kern w:val="0"/>
                <w:sz w:val="18"/>
                <w:szCs w:val="18"/>
              </w:rPr>
              <w:br/>
              <w:t>2011 Modular Level I, Vol. 4, pp. 57, 75</w:t>
            </w:r>
            <w:r w:rsidRPr="00BA3E11">
              <w:rPr>
                <w:rFonts w:ascii="Segoe UI" w:eastAsia="宋体" w:hAnsi="Segoe UI" w:cs="Segoe UI"/>
                <w:color w:val="333333"/>
                <w:kern w:val="0"/>
                <w:sz w:val="18"/>
                <w:szCs w:val="18"/>
              </w:rPr>
              <w:br/>
              <w:t>Study Sessions 8–35–e, f, g; 11–45–h</w:t>
            </w:r>
            <w:r w:rsidRPr="00BA3E11">
              <w:rPr>
                <w:rFonts w:ascii="Segoe UI" w:eastAsia="宋体" w:hAnsi="Segoe UI" w:cs="Segoe UI"/>
                <w:color w:val="333333"/>
                <w:kern w:val="0"/>
                <w:sz w:val="18"/>
                <w:szCs w:val="18"/>
              </w:rPr>
              <w:br/>
              <w:t>Demonstrate how ratios are related and how to evaluate a company using a combination of different ratios.</w:t>
            </w:r>
            <w:r w:rsidRPr="00BA3E11">
              <w:rPr>
                <w:rFonts w:ascii="Segoe UI" w:eastAsia="宋体" w:hAnsi="Segoe UI" w:cs="Segoe UI"/>
                <w:color w:val="333333"/>
                <w:kern w:val="0"/>
                <w:sz w:val="18"/>
                <w:szCs w:val="18"/>
              </w:rPr>
              <w:br/>
              <w:t>Demonstrate the application of and interpret changes in the component parts of the DuPont analysis (the decomposition of return on equity).</w:t>
            </w:r>
            <w:r w:rsidRPr="00BA3E11">
              <w:rPr>
                <w:rFonts w:ascii="Segoe UI" w:eastAsia="宋体" w:hAnsi="Segoe UI" w:cs="Segoe UI"/>
                <w:color w:val="333333"/>
                <w:kern w:val="0"/>
                <w:sz w:val="18"/>
                <w:szCs w:val="18"/>
              </w:rPr>
              <w:br/>
              <w:t>Calculate and interpret the ratios used in equity analysis, credit analysis, and segment analysis.</w:t>
            </w:r>
            <w:r w:rsidRPr="00BA3E11">
              <w:rPr>
                <w:rFonts w:ascii="Segoe UI" w:eastAsia="宋体" w:hAnsi="Segoe UI" w:cs="Segoe UI"/>
                <w:color w:val="333333"/>
                <w:kern w:val="0"/>
                <w:sz w:val="18"/>
                <w:szCs w:val="18"/>
              </w:rPr>
              <w:br/>
              <w:t>Calculate and interpret the cost of equity capital using the capital asset pricing model approach, the dividend discount model approach, and the bond-yield-plus-risk-premium approach.</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br/>
            </w:r>
            <w:r w:rsidRPr="00BA3E11">
              <w:rPr>
                <w:rFonts w:ascii="Segoe UI" w:eastAsia="宋体" w:hAnsi="Segoe UI" w:cs="Segoe UI"/>
                <w:b/>
                <w:bCs/>
                <w:color w:val="333333"/>
                <w:kern w:val="0"/>
                <w:sz w:val="18"/>
                <w:szCs w:val="18"/>
              </w:rPr>
              <w:t>Sustainable growth rate = retention ratio × ROE</w:t>
            </w:r>
            <w:r w:rsidRPr="00BA3E11">
              <w:rPr>
                <w:rFonts w:ascii="Segoe UI" w:eastAsia="宋体" w:hAnsi="Segoe UI" w:cs="Segoe UI"/>
                <w:color w:val="333333"/>
                <w:kern w:val="0"/>
                <w:sz w:val="18"/>
                <w:szCs w:val="18"/>
              </w:rPr>
              <w:br/>
              <w:t xml:space="preserve">The higher a company's ROE and its ability to finance itself from internally generated funds (a higher retention ratio), the greater will be its sustainable growth rate. </w:t>
            </w:r>
            <w:r w:rsidRPr="00BA3E11">
              <w:rPr>
                <w:rFonts w:ascii="Segoe UI" w:eastAsia="宋体" w:hAnsi="Segoe UI" w:cs="Segoe UI"/>
                <w:color w:val="333333"/>
                <w:kern w:val="0"/>
                <w:sz w:val="18"/>
                <w:szCs w:val="18"/>
              </w:rPr>
              <w:br/>
            </w:r>
            <w:r w:rsidRPr="00BA3E11">
              <w:rPr>
                <w:rFonts w:ascii="Segoe UI" w:eastAsia="宋体" w:hAnsi="Segoe UI" w:cs="Segoe UI"/>
                <w:color w:val="333333"/>
                <w:kern w:val="0"/>
                <w:sz w:val="18"/>
                <w:szCs w:val="18"/>
              </w:rPr>
              <w:lastRenderedPageBreak/>
              <w:t xml:space="preserve">In the 5 factor ROE, any factor that increases ROE will increase sustainable growth: </w:t>
            </w:r>
            <w:r w:rsidRPr="00BA3E11">
              <w:rPr>
                <w:rFonts w:ascii="Segoe UI" w:eastAsia="宋体" w:hAnsi="Segoe UI" w:cs="Segoe UI"/>
                <w:color w:val="333333"/>
                <w:kern w:val="0"/>
                <w:sz w:val="18"/>
                <w:szCs w:val="18"/>
              </w:rPr>
              <w:br/>
            </w:r>
            <w:r w:rsidRPr="00BA3E11">
              <w:rPr>
                <w:rFonts w:ascii="Segoe UI" w:eastAsia="宋体" w:hAnsi="Segoe UI" w:cs="Segoe UI"/>
                <w:b/>
                <w:bCs/>
                <w:color w:val="333333"/>
                <w:kern w:val="0"/>
                <w:sz w:val="18"/>
                <w:szCs w:val="18"/>
              </w:rPr>
              <w:t>ROE = tax burden × interest burden × EBIT margin × asset turnover × leverage</w:t>
            </w:r>
            <w:r w:rsidRPr="00BA3E11">
              <w:rPr>
                <w:rFonts w:ascii="Segoe UI" w:eastAsia="宋体" w:hAnsi="Segoe UI" w:cs="Segoe UI"/>
                <w:color w:val="333333"/>
                <w:kern w:val="0"/>
                <w:sz w:val="18"/>
                <w:szCs w:val="18"/>
              </w:rPr>
              <w:br/>
              <w:t>A higher tax burden ratio (Net Income/Earnings before tax) implies that the company can keep a higher percentage of pretax profits: this implies a lower tax rate, and a higher ROE. The interest burden ratio is Earnings before tax/EBIT, and a lower ratio means that the company has higher borrowing costs (it gets to keep a lower pre-tax income from a given EBIT), implying a lower ROE and sustainable growth. </w:t>
            </w:r>
          </w:p>
        </w:tc>
      </w:tr>
    </w:tbl>
    <w:p w:rsidR="00BA3E11" w:rsidRDefault="00BA3E11">
      <w:pPr>
        <w:rPr>
          <w:rFonts w:hint="eastAsia"/>
        </w:rPr>
      </w:pPr>
    </w:p>
    <w:tbl>
      <w:tblPr>
        <w:tblW w:w="5000" w:type="pct"/>
        <w:tblCellSpacing w:w="15" w:type="dxa"/>
        <w:tblCellMar>
          <w:top w:w="30" w:type="dxa"/>
          <w:left w:w="30" w:type="dxa"/>
          <w:bottom w:w="30" w:type="dxa"/>
          <w:right w:w="30" w:type="dxa"/>
        </w:tblCellMar>
        <w:tblLook w:val="04A0"/>
      </w:tblPr>
      <w:tblGrid>
        <w:gridCol w:w="420"/>
        <w:gridCol w:w="788"/>
        <w:gridCol w:w="6945"/>
        <w:gridCol w:w="96"/>
        <w:gridCol w:w="96"/>
        <w:gridCol w:w="111"/>
      </w:tblGrid>
      <w:tr w:rsidR="003B106F" w:rsidRPr="003B106F" w:rsidTr="003B106F">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3B106F" w:rsidRPr="003B106F" w:rsidRDefault="003B106F" w:rsidP="003B106F">
            <w:pPr>
              <w:widowControl/>
              <w:jc w:val="left"/>
              <w:rPr>
                <w:rFonts w:ascii="Segoe UI" w:eastAsia="宋体" w:hAnsi="Segoe UI" w:cs="Segoe UI"/>
                <w:b/>
                <w:bCs/>
                <w:color w:val="000000"/>
                <w:kern w:val="0"/>
                <w:sz w:val="18"/>
                <w:szCs w:val="18"/>
              </w:rPr>
            </w:pPr>
            <w:r w:rsidRPr="003B106F">
              <w:rPr>
                <w:rFonts w:ascii="Segoe UI" w:eastAsia="宋体" w:hAnsi="Segoe UI" w:cs="Segoe UI"/>
                <w:b/>
                <w:bCs/>
                <w:color w:val="000000"/>
                <w:kern w:val="0"/>
                <w:sz w:val="18"/>
                <w:szCs w:val="18"/>
              </w:rPr>
              <w:t>27</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3B106F" w:rsidRPr="003B106F" w:rsidRDefault="003B106F" w:rsidP="003B106F">
            <w:pPr>
              <w:widowControl/>
              <w:jc w:val="left"/>
              <w:rPr>
                <w:rFonts w:ascii="Segoe UI" w:eastAsia="宋体" w:hAnsi="Segoe UI" w:cs="Segoe UI"/>
                <w:color w:val="333333"/>
                <w:kern w:val="0"/>
                <w:sz w:val="18"/>
                <w:szCs w:val="18"/>
              </w:rPr>
            </w:pPr>
            <w:r w:rsidRPr="003B106F">
              <w:rPr>
                <w:rFonts w:ascii="Segoe UI" w:eastAsia="宋体" w:hAnsi="Segoe UI" w:cs="Segoe UI"/>
                <w:color w:val="333333"/>
                <w:kern w:val="0"/>
                <w:sz w:val="18"/>
                <w:szCs w:val="18"/>
              </w:rPr>
              <w:t>During 2009, the following events occurred at a company. The company:</w:t>
            </w:r>
            <w:r w:rsidRPr="003B106F">
              <w:rPr>
                <w:rFonts w:ascii="Segoe UI" w:eastAsia="宋体" w:hAnsi="Segoe UI" w:cs="Segoe UI"/>
                <w:color w:val="333333"/>
                <w:kern w:val="0"/>
                <w:sz w:val="18"/>
                <w:szCs w:val="18"/>
              </w:rPr>
              <w:br/>
            </w:r>
            <w:r w:rsidRPr="003B106F">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8"/>
              <w:gridCol w:w="7557"/>
            </w:tblGrid>
            <w:tr w:rsidR="003B106F" w:rsidRPr="003B106F">
              <w:trPr>
                <w:tblCellSpacing w:w="15" w:type="dxa"/>
              </w:trPr>
              <w:tc>
                <w:tcPr>
                  <w:tcW w:w="285" w:type="dxa"/>
                  <w:tcBorders>
                    <w:top w:val="outset" w:sz="6" w:space="0" w:color="auto"/>
                    <w:left w:val="outset" w:sz="6" w:space="0" w:color="auto"/>
                    <w:bottom w:val="outset" w:sz="6" w:space="0" w:color="auto"/>
                    <w:right w:val="outset" w:sz="6" w:space="0" w:color="auto"/>
                  </w:tcBorders>
                  <w:hideMark/>
                </w:tcPr>
                <w:p w:rsidR="003B106F" w:rsidRPr="003B106F" w:rsidRDefault="003B106F" w:rsidP="003B106F">
                  <w:pPr>
                    <w:widowControl/>
                    <w:jc w:val="left"/>
                    <w:rPr>
                      <w:rFonts w:ascii="Segoe UI" w:eastAsia="宋体" w:hAnsi="Segoe UI" w:cs="Segoe UI"/>
                      <w:color w:val="333333"/>
                      <w:kern w:val="0"/>
                      <w:sz w:val="18"/>
                      <w:szCs w:val="18"/>
                    </w:rPr>
                  </w:pPr>
                  <w:r w:rsidRPr="003B106F">
                    <w:rPr>
                      <w:rFonts w:ascii="Segoe UI" w:eastAsia="宋体" w:hAnsi="Segoe UI" w:cs="Segoe UI"/>
                      <w:color w:val="333333"/>
                      <w:kern w:val="0"/>
                      <w:sz w:val="18"/>
                      <w:szCs w:val="18"/>
                    </w:rPr>
                    <w:t>1.</w:t>
                  </w:r>
                </w:p>
              </w:tc>
              <w:tc>
                <w:tcPr>
                  <w:tcW w:w="7650" w:type="dxa"/>
                  <w:tcBorders>
                    <w:top w:val="outset" w:sz="6" w:space="0" w:color="auto"/>
                    <w:left w:val="outset" w:sz="6" w:space="0" w:color="auto"/>
                    <w:bottom w:val="outset" w:sz="6" w:space="0" w:color="auto"/>
                    <w:right w:val="outset" w:sz="6" w:space="0" w:color="auto"/>
                  </w:tcBorders>
                  <w:vAlign w:val="center"/>
                  <w:hideMark/>
                </w:tcPr>
                <w:p w:rsidR="003B106F" w:rsidRPr="003B106F" w:rsidRDefault="003B106F" w:rsidP="003B106F">
                  <w:pPr>
                    <w:widowControl/>
                    <w:jc w:val="left"/>
                    <w:rPr>
                      <w:rFonts w:ascii="Segoe UI" w:eastAsia="宋体" w:hAnsi="Segoe UI" w:cs="Segoe UI"/>
                      <w:color w:val="333333"/>
                      <w:kern w:val="0"/>
                      <w:sz w:val="18"/>
                      <w:szCs w:val="18"/>
                    </w:rPr>
                  </w:pPr>
                  <w:proofErr w:type="gramStart"/>
                  <w:r w:rsidRPr="003B106F">
                    <w:rPr>
                      <w:rFonts w:ascii="Segoe UI" w:eastAsia="宋体" w:hAnsi="Segoe UI" w:cs="Segoe UI"/>
                      <w:color w:val="333333"/>
                      <w:kern w:val="0"/>
                      <w:sz w:val="18"/>
                      <w:szCs w:val="18"/>
                    </w:rPr>
                    <w:t>purchased</w:t>
                  </w:r>
                  <w:proofErr w:type="gramEnd"/>
                  <w:r w:rsidRPr="003B106F">
                    <w:rPr>
                      <w:rFonts w:ascii="Segoe UI" w:eastAsia="宋体" w:hAnsi="Segoe UI" w:cs="Segoe UI"/>
                      <w:color w:val="333333"/>
                      <w:kern w:val="0"/>
                      <w:sz w:val="18"/>
                      <w:szCs w:val="18"/>
                    </w:rPr>
                    <w:t xml:space="preserve"> a customer list for $100,000, which is expected to provide equal annual benefits for the next 4 years.</w:t>
                  </w:r>
                </w:p>
              </w:tc>
            </w:tr>
            <w:tr w:rsidR="003B106F" w:rsidRPr="003B106F">
              <w:trPr>
                <w:tblCellSpacing w:w="15" w:type="dxa"/>
              </w:trPr>
              <w:tc>
                <w:tcPr>
                  <w:tcW w:w="285" w:type="dxa"/>
                  <w:tcBorders>
                    <w:top w:val="outset" w:sz="6" w:space="0" w:color="auto"/>
                    <w:left w:val="outset" w:sz="6" w:space="0" w:color="auto"/>
                    <w:bottom w:val="outset" w:sz="6" w:space="0" w:color="auto"/>
                    <w:right w:val="outset" w:sz="6" w:space="0" w:color="auto"/>
                  </w:tcBorders>
                  <w:hideMark/>
                </w:tcPr>
                <w:p w:rsidR="003B106F" w:rsidRPr="003B106F" w:rsidRDefault="003B106F" w:rsidP="003B106F">
                  <w:pPr>
                    <w:widowControl/>
                    <w:jc w:val="left"/>
                    <w:rPr>
                      <w:rFonts w:ascii="Segoe UI" w:eastAsia="宋体" w:hAnsi="Segoe UI" w:cs="Segoe UI"/>
                      <w:color w:val="333333"/>
                      <w:kern w:val="0"/>
                      <w:sz w:val="18"/>
                      <w:szCs w:val="18"/>
                    </w:rPr>
                  </w:pPr>
                  <w:r w:rsidRPr="003B106F">
                    <w:rPr>
                      <w:rFonts w:ascii="Segoe UI" w:eastAsia="宋体" w:hAnsi="Segoe UI" w:cs="Segoe UI"/>
                      <w:color w:val="333333"/>
                      <w:kern w:val="0"/>
                      <w:sz w:val="18"/>
                      <w:szCs w:val="18"/>
                    </w:rPr>
                    <w:t>2.</w:t>
                  </w:r>
                </w:p>
              </w:tc>
              <w:tc>
                <w:tcPr>
                  <w:tcW w:w="7650" w:type="dxa"/>
                  <w:tcBorders>
                    <w:top w:val="outset" w:sz="6" w:space="0" w:color="auto"/>
                    <w:left w:val="outset" w:sz="6" w:space="0" w:color="auto"/>
                    <w:bottom w:val="outset" w:sz="6" w:space="0" w:color="auto"/>
                    <w:right w:val="outset" w:sz="6" w:space="0" w:color="auto"/>
                  </w:tcBorders>
                  <w:vAlign w:val="center"/>
                  <w:hideMark/>
                </w:tcPr>
                <w:p w:rsidR="003B106F" w:rsidRPr="003B106F" w:rsidRDefault="003B106F" w:rsidP="003B106F">
                  <w:pPr>
                    <w:widowControl/>
                    <w:jc w:val="left"/>
                    <w:rPr>
                      <w:rFonts w:ascii="Segoe UI" w:eastAsia="宋体" w:hAnsi="Segoe UI" w:cs="Segoe UI"/>
                      <w:color w:val="333333"/>
                      <w:kern w:val="0"/>
                      <w:sz w:val="18"/>
                      <w:szCs w:val="18"/>
                    </w:rPr>
                  </w:pPr>
                  <w:proofErr w:type="gramStart"/>
                  <w:r w:rsidRPr="003B106F">
                    <w:rPr>
                      <w:rFonts w:ascii="Segoe UI" w:eastAsia="宋体" w:hAnsi="Segoe UI" w:cs="Segoe UI"/>
                      <w:color w:val="333333"/>
                      <w:kern w:val="0"/>
                      <w:sz w:val="18"/>
                      <w:szCs w:val="18"/>
                    </w:rPr>
                    <w:t>recorded</w:t>
                  </w:r>
                  <w:proofErr w:type="gramEnd"/>
                  <w:r w:rsidRPr="003B106F">
                    <w:rPr>
                      <w:rFonts w:ascii="Segoe UI" w:eastAsia="宋体" w:hAnsi="Segoe UI" w:cs="Segoe UI"/>
                      <w:color w:val="333333"/>
                      <w:kern w:val="0"/>
                      <w:sz w:val="18"/>
                      <w:szCs w:val="18"/>
                    </w:rPr>
                    <w:t xml:space="preserve"> $200,000 of goodwill in the acquisition of a competitor. It is estimated that the acquisition would provide substantial benefits for the company for at least the next 10 years.</w:t>
                  </w:r>
                </w:p>
              </w:tc>
            </w:tr>
            <w:tr w:rsidR="003B106F" w:rsidRPr="003B106F">
              <w:trPr>
                <w:trHeight w:val="405"/>
                <w:tblCellSpacing w:w="15" w:type="dxa"/>
              </w:trPr>
              <w:tc>
                <w:tcPr>
                  <w:tcW w:w="285" w:type="dxa"/>
                  <w:tcBorders>
                    <w:top w:val="outset" w:sz="6" w:space="0" w:color="auto"/>
                    <w:left w:val="outset" w:sz="6" w:space="0" w:color="auto"/>
                    <w:bottom w:val="outset" w:sz="6" w:space="0" w:color="auto"/>
                    <w:right w:val="outset" w:sz="6" w:space="0" w:color="auto"/>
                  </w:tcBorders>
                  <w:hideMark/>
                </w:tcPr>
                <w:p w:rsidR="003B106F" w:rsidRPr="003B106F" w:rsidRDefault="003B106F" w:rsidP="003B106F">
                  <w:pPr>
                    <w:widowControl/>
                    <w:jc w:val="left"/>
                    <w:rPr>
                      <w:rFonts w:ascii="Segoe UI" w:eastAsia="宋体" w:hAnsi="Segoe UI" w:cs="Segoe UI"/>
                      <w:color w:val="333333"/>
                      <w:kern w:val="0"/>
                      <w:sz w:val="18"/>
                      <w:szCs w:val="18"/>
                    </w:rPr>
                  </w:pPr>
                  <w:r w:rsidRPr="003B106F">
                    <w:rPr>
                      <w:rFonts w:ascii="Segoe UI" w:eastAsia="宋体" w:hAnsi="Segoe UI" w:cs="Segoe UI"/>
                      <w:color w:val="333333"/>
                      <w:kern w:val="0"/>
                      <w:sz w:val="18"/>
                      <w:szCs w:val="18"/>
                    </w:rPr>
                    <w:t>3.</w:t>
                  </w:r>
                </w:p>
              </w:tc>
              <w:tc>
                <w:tcPr>
                  <w:tcW w:w="7650" w:type="dxa"/>
                  <w:tcBorders>
                    <w:top w:val="outset" w:sz="6" w:space="0" w:color="auto"/>
                    <w:left w:val="outset" w:sz="6" w:space="0" w:color="auto"/>
                    <w:bottom w:val="outset" w:sz="6" w:space="0" w:color="auto"/>
                    <w:right w:val="outset" w:sz="6" w:space="0" w:color="auto"/>
                  </w:tcBorders>
                  <w:vAlign w:val="center"/>
                  <w:hideMark/>
                </w:tcPr>
                <w:p w:rsidR="003B106F" w:rsidRPr="003B106F" w:rsidRDefault="003B106F" w:rsidP="003B106F">
                  <w:pPr>
                    <w:widowControl/>
                    <w:jc w:val="left"/>
                    <w:rPr>
                      <w:rFonts w:ascii="Segoe UI" w:eastAsia="宋体" w:hAnsi="Segoe UI" w:cs="Segoe UI"/>
                      <w:color w:val="333333"/>
                      <w:kern w:val="0"/>
                      <w:sz w:val="18"/>
                      <w:szCs w:val="18"/>
                    </w:rPr>
                  </w:pPr>
                  <w:proofErr w:type="gramStart"/>
                  <w:r w:rsidRPr="003B106F">
                    <w:rPr>
                      <w:rFonts w:ascii="Segoe UI" w:eastAsia="宋体" w:hAnsi="Segoe UI" w:cs="Segoe UI"/>
                      <w:color w:val="333333"/>
                      <w:kern w:val="0"/>
                      <w:sz w:val="18"/>
                      <w:szCs w:val="18"/>
                    </w:rPr>
                    <w:t>repeatedly</w:t>
                  </w:r>
                  <w:proofErr w:type="gramEnd"/>
                  <w:r w:rsidRPr="003B106F">
                    <w:rPr>
                      <w:rFonts w:ascii="Segoe UI" w:eastAsia="宋体" w:hAnsi="Segoe UI" w:cs="Segoe UI"/>
                      <w:color w:val="333333"/>
                      <w:kern w:val="0"/>
                      <w:sz w:val="18"/>
                      <w:szCs w:val="18"/>
                    </w:rPr>
                    <w:t xml:space="preserve"> received favorable mention in the media for its response to a local natural disaster, in which it donated $300,000 in products and services to the community. The CEO of the company was heard to say that the publicity enhanced the firm's reputation substantially and would likely be worth at least $100,000 annually over the next 5 years.</w:t>
                  </w:r>
                </w:p>
              </w:tc>
            </w:tr>
          </w:tbl>
          <w:p w:rsidR="003B106F" w:rsidRPr="003B106F" w:rsidRDefault="003B106F" w:rsidP="003B106F">
            <w:pPr>
              <w:widowControl/>
              <w:jc w:val="left"/>
              <w:rPr>
                <w:rFonts w:ascii="Segoe UI" w:eastAsia="宋体" w:hAnsi="Segoe UI" w:cs="Segoe UI"/>
                <w:color w:val="333333"/>
                <w:kern w:val="0"/>
                <w:sz w:val="18"/>
                <w:szCs w:val="18"/>
              </w:rPr>
            </w:pPr>
            <w:r w:rsidRPr="003B106F">
              <w:rPr>
                <w:rFonts w:ascii="Segoe UI" w:eastAsia="宋体" w:hAnsi="Segoe UI" w:cs="Segoe UI"/>
                <w:color w:val="333333"/>
                <w:kern w:val="0"/>
                <w:sz w:val="18"/>
                <w:szCs w:val="18"/>
              </w:rPr>
              <w:br/>
              <w:t xml:space="preserve">Based on those events, the amortization expense that the company should report in 2010 is </w:t>
            </w:r>
            <w:r w:rsidRPr="003B106F">
              <w:rPr>
                <w:rFonts w:ascii="Segoe UI" w:eastAsia="宋体" w:hAnsi="Segoe UI" w:cs="Segoe UI"/>
                <w:i/>
                <w:iCs/>
                <w:color w:val="333333"/>
                <w:kern w:val="0"/>
                <w:sz w:val="18"/>
                <w:szCs w:val="18"/>
              </w:rPr>
              <w:t>closest</w:t>
            </w:r>
            <w:r w:rsidRPr="003B106F">
              <w:rPr>
                <w:rFonts w:ascii="Segoe UI" w:eastAsia="宋体" w:hAnsi="Segoe UI" w:cs="Segoe UI"/>
                <w:color w:val="333333"/>
                <w:kern w:val="0"/>
                <w:sz w:val="18"/>
                <w:szCs w:val="18"/>
              </w:rPr>
              <w:t xml:space="preserve"> to:</w:t>
            </w:r>
          </w:p>
        </w:tc>
      </w:tr>
      <w:tr w:rsidR="003B106F" w:rsidRPr="003B106F" w:rsidTr="003B106F">
        <w:trPr>
          <w:trHeight w:val="525"/>
          <w:tblCellSpacing w:w="15" w:type="dxa"/>
        </w:trPr>
        <w:tc>
          <w:tcPr>
            <w:tcW w:w="375" w:type="dxa"/>
            <w:vAlign w:val="center"/>
            <w:hideMark/>
          </w:tcPr>
          <w:p w:rsidR="003B106F" w:rsidRPr="003B106F" w:rsidRDefault="003B106F" w:rsidP="003B106F">
            <w:pPr>
              <w:widowControl/>
              <w:jc w:val="left"/>
              <w:rPr>
                <w:rFonts w:ascii="Segoe UI" w:eastAsia="宋体" w:hAnsi="Segoe UI" w:cs="Segoe UI"/>
                <w:color w:val="333333"/>
                <w:kern w:val="0"/>
                <w:sz w:val="18"/>
                <w:szCs w:val="18"/>
              </w:rPr>
            </w:pPr>
            <w:r w:rsidRPr="003B106F">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B106F" w:rsidRPr="003B106F" w:rsidRDefault="003B106F" w:rsidP="003B106F">
            <w:pPr>
              <w:widowControl/>
              <w:jc w:val="center"/>
              <w:rPr>
                <w:rFonts w:ascii="Segoe UI" w:eastAsia="宋体" w:hAnsi="Segoe UI" w:cs="Segoe UI"/>
                <w:color w:val="000000"/>
                <w:kern w:val="0"/>
                <w:sz w:val="18"/>
                <w:szCs w:val="18"/>
              </w:rPr>
            </w:pPr>
            <w:r w:rsidRPr="003B106F">
              <w:rPr>
                <w:rFonts w:ascii="Segoe UI" w:eastAsia="宋体" w:hAnsi="Segoe UI" w:cs="Segoe UI"/>
                <w:color w:val="000000"/>
                <w:kern w:val="0"/>
                <w:sz w:val="18"/>
                <w:szCs w:val="18"/>
              </w:rPr>
              <w:object w:dxaOrig="1440" w:dyaOrig="1440">
                <v:shape id="_x0000_i1288" type="#_x0000_t75" style="width:20.25pt;height:15.75pt" o:ole="">
                  <v:imagedata r:id="rId7" o:title=""/>
                </v:shape>
                <w:control r:id="rId87" w:name="DefaultOcxName46" w:shapeid="_x0000_i128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B106F" w:rsidRPr="003B106F" w:rsidRDefault="003B106F" w:rsidP="003B106F">
            <w:pPr>
              <w:widowControl/>
              <w:jc w:val="left"/>
              <w:rPr>
                <w:rFonts w:ascii="Segoe UI" w:eastAsia="宋体" w:hAnsi="Segoe UI" w:cs="Segoe UI"/>
                <w:color w:val="000000"/>
                <w:kern w:val="0"/>
                <w:sz w:val="18"/>
                <w:szCs w:val="18"/>
              </w:rPr>
            </w:pPr>
            <w:r w:rsidRPr="003B106F">
              <w:rPr>
                <w:rFonts w:ascii="Segoe UI" w:eastAsia="宋体" w:hAnsi="Segoe UI" w:cs="Segoe UI"/>
                <w:b/>
                <w:bCs/>
                <w:color w:val="000000"/>
                <w:kern w:val="0"/>
                <w:sz w:val="18"/>
                <w:szCs w:val="18"/>
              </w:rPr>
              <w:t>A.</w:t>
            </w:r>
            <w:r w:rsidRPr="003B106F">
              <w:rPr>
                <w:rFonts w:ascii="Segoe UI" w:eastAsia="宋体" w:hAnsi="Segoe UI" w:cs="Segoe UI"/>
                <w:color w:val="000000"/>
                <w:kern w:val="0"/>
                <w:sz w:val="18"/>
                <w:szCs w:val="18"/>
              </w:rPr>
              <w:t xml:space="preserve"> $25,000.</w:t>
            </w:r>
          </w:p>
        </w:tc>
        <w:tc>
          <w:tcPr>
            <w:tcW w:w="0" w:type="auto"/>
            <w:vAlign w:val="center"/>
            <w:hideMark/>
          </w:tcPr>
          <w:p w:rsidR="003B106F" w:rsidRPr="003B106F" w:rsidRDefault="003B106F" w:rsidP="003B106F">
            <w:pPr>
              <w:widowControl/>
              <w:jc w:val="left"/>
              <w:rPr>
                <w:rFonts w:ascii="Times New Roman" w:eastAsia="Times New Roman" w:hAnsi="Times New Roman" w:cs="Times New Roman"/>
                <w:kern w:val="0"/>
                <w:sz w:val="20"/>
                <w:szCs w:val="20"/>
              </w:rPr>
            </w:pPr>
          </w:p>
        </w:tc>
        <w:tc>
          <w:tcPr>
            <w:tcW w:w="0" w:type="auto"/>
            <w:vAlign w:val="center"/>
            <w:hideMark/>
          </w:tcPr>
          <w:p w:rsidR="003B106F" w:rsidRPr="003B106F" w:rsidRDefault="003B106F" w:rsidP="003B106F">
            <w:pPr>
              <w:widowControl/>
              <w:jc w:val="left"/>
              <w:rPr>
                <w:rFonts w:ascii="Times New Roman" w:eastAsia="Times New Roman" w:hAnsi="Times New Roman" w:cs="Times New Roman"/>
                <w:kern w:val="0"/>
                <w:sz w:val="20"/>
                <w:szCs w:val="20"/>
              </w:rPr>
            </w:pPr>
          </w:p>
        </w:tc>
        <w:tc>
          <w:tcPr>
            <w:tcW w:w="0" w:type="auto"/>
            <w:vAlign w:val="center"/>
            <w:hideMark/>
          </w:tcPr>
          <w:p w:rsidR="003B106F" w:rsidRPr="003B106F" w:rsidRDefault="003B106F" w:rsidP="003B106F">
            <w:pPr>
              <w:widowControl/>
              <w:jc w:val="left"/>
              <w:rPr>
                <w:rFonts w:ascii="Times New Roman" w:eastAsia="Times New Roman" w:hAnsi="Times New Roman" w:cs="Times New Roman"/>
                <w:kern w:val="0"/>
                <w:sz w:val="20"/>
                <w:szCs w:val="20"/>
              </w:rPr>
            </w:pPr>
          </w:p>
        </w:tc>
      </w:tr>
      <w:tr w:rsidR="003B106F" w:rsidRPr="003B106F" w:rsidTr="003B106F">
        <w:trPr>
          <w:trHeight w:val="525"/>
          <w:tblCellSpacing w:w="15" w:type="dxa"/>
        </w:trPr>
        <w:tc>
          <w:tcPr>
            <w:tcW w:w="375" w:type="dxa"/>
            <w:vAlign w:val="center"/>
            <w:hideMark/>
          </w:tcPr>
          <w:p w:rsidR="003B106F" w:rsidRPr="003B106F" w:rsidRDefault="003B106F" w:rsidP="003B106F">
            <w:pPr>
              <w:widowControl/>
              <w:jc w:val="left"/>
              <w:rPr>
                <w:rFonts w:ascii="Segoe UI" w:eastAsia="宋体" w:hAnsi="Segoe UI" w:cs="Segoe UI"/>
                <w:color w:val="333333"/>
                <w:kern w:val="0"/>
                <w:sz w:val="18"/>
                <w:szCs w:val="18"/>
              </w:rPr>
            </w:pPr>
            <w:r w:rsidRPr="003B106F">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B106F" w:rsidRPr="003B106F" w:rsidRDefault="003B106F" w:rsidP="003B106F">
            <w:pPr>
              <w:widowControl/>
              <w:jc w:val="center"/>
              <w:rPr>
                <w:rFonts w:ascii="Segoe UI" w:eastAsia="宋体" w:hAnsi="Segoe UI" w:cs="Segoe UI"/>
                <w:color w:val="000000"/>
                <w:kern w:val="0"/>
                <w:sz w:val="18"/>
                <w:szCs w:val="18"/>
              </w:rPr>
            </w:pPr>
            <w:r w:rsidRPr="003B106F">
              <w:rPr>
                <w:rFonts w:ascii="Segoe UI" w:eastAsia="宋体" w:hAnsi="Segoe UI" w:cs="Segoe UI"/>
                <w:color w:val="000000"/>
                <w:kern w:val="0"/>
                <w:sz w:val="18"/>
                <w:szCs w:val="18"/>
              </w:rPr>
              <w:object w:dxaOrig="1440" w:dyaOrig="1440">
                <v:shape id="_x0000_i1287" type="#_x0000_t75" style="width:20.25pt;height:15.75pt" o:ole="">
                  <v:imagedata r:id="rId9" o:title=""/>
                </v:shape>
                <w:control r:id="rId88" w:name="DefaultOcxName126" w:shapeid="_x0000_i128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B106F" w:rsidRPr="003B106F" w:rsidRDefault="003B106F" w:rsidP="003B106F">
            <w:pPr>
              <w:widowControl/>
              <w:jc w:val="left"/>
              <w:rPr>
                <w:rFonts w:ascii="Segoe UI" w:eastAsia="宋体" w:hAnsi="Segoe UI" w:cs="Segoe UI"/>
                <w:color w:val="000000"/>
                <w:kern w:val="0"/>
                <w:sz w:val="18"/>
                <w:szCs w:val="18"/>
              </w:rPr>
            </w:pPr>
            <w:r w:rsidRPr="003B106F">
              <w:rPr>
                <w:rFonts w:ascii="Segoe UI" w:eastAsia="宋体" w:hAnsi="Segoe UI" w:cs="Segoe UI"/>
                <w:b/>
                <w:bCs/>
                <w:color w:val="000000"/>
                <w:kern w:val="0"/>
                <w:sz w:val="18"/>
                <w:szCs w:val="18"/>
              </w:rPr>
              <w:t>B.</w:t>
            </w:r>
            <w:r w:rsidRPr="003B106F">
              <w:rPr>
                <w:rFonts w:ascii="Segoe UI" w:eastAsia="宋体" w:hAnsi="Segoe UI" w:cs="Segoe UI"/>
                <w:color w:val="000000"/>
                <w:kern w:val="0"/>
                <w:sz w:val="18"/>
                <w:szCs w:val="18"/>
              </w:rPr>
              <w:t xml:space="preserve"> $45,000.</w:t>
            </w:r>
          </w:p>
        </w:tc>
        <w:tc>
          <w:tcPr>
            <w:tcW w:w="0" w:type="auto"/>
            <w:vAlign w:val="center"/>
            <w:hideMark/>
          </w:tcPr>
          <w:p w:rsidR="003B106F" w:rsidRPr="003B106F" w:rsidRDefault="003B106F" w:rsidP="003B106F">
            <w:pPr>
              <w:widowControl/>
              <w:jc w:val="left"/>
              <w:rPr>
                <w:rFonts w:ascii="Times New Roman" w:eastAsia="Times New Roman" w:hAnsi="Times New Roman" w:cs="Times New Roman"/>
                <w:kern w:val="0"/>
                <w:sz w:val="20"/>
                <w:szCs w:val="20"/>
              </w:rPr>
            </w:pPr>
          </w:p>
        </w:tc>
        <w:tc>
          <w:tcPr>
            <w:tcW w:w="0" w:type="auto"/>
            <w:vAlign w:val="center"/>
            <w:hideMark/>
          </w:tcPr>
          <w:p w:rsidR="003B106F" w:rsidRPr="003B106F" w:rsidRDefault="003B106F" w:rsidP="003B106F">
            <w:pPr>
              <w:widowControl/>
              <w:jc w:val="left"/>
              <w:rPr>
                <w:rFonts w:ascii="Times New Roman" w:eastAsia="Times New Roman" w:hAnsi="Times New Roman" w:cs="Times New Roman"/>
                <w:kern w:val="0"/>
                <w:sz w:val="20"/>
                <w:szCs w:val="20"/>
              </w:rPr>
            </w:pPr>
          </w:p>
        </w:tc>
        <w:tc>
          <w:tcPr>
            <w:tcW w:w="0" w:type="auto"/>
            <w:vAlign w:val="center"/>
            <w:hideMark/>
          </w:tcPr>
          <w:p w:rsidR="003B106F" w:rsidRPr="003B106F" w:rsidRDefault="003B106F" w:rsidP="003B106F">
            <w:pPr>
              <w:widowControl/>
              <w:jc w:val="left"/>
              <w:rPr>
                <w:rFonts w:ascii="Times New Roman" w:eastAsia="Times New Roman" w:hAnsi="Times New Roman" w:cs="Times New Roman"/>
                <w:kern w:val="0"/>
                <w:sz w:val="20"/>
                <w:szCs w:val="20"/>
              </w:rPr>
            </w:pPr>
          </w:p>
        </w:tc>
      </w:tr>
      <w:tr w:rsidR="003B106F" w:rsidRPr="003B106F" w:rsidTr="003B106F">
        <w:trPr>
          <w:trHeight w:val="525"/>
          <w:tblCellSpacing w:w="15" w:type="dxa"/>
        </w:trPr>
        <w:tc>
          <w:tcPr>
            <w:tcW w:w="375" w:type="dxa"/>
            <w:vAlign w:val="center"/>
            <w:hideMark/>
          </w:tcPr>
          <w:p w:rsidR="003B106F" w:rsidRPr="003B106F" w:rsidRDefault="003B106F" w:rsidP="003B106F">
            <w:pPr>
              <w:widowControl/>
              <w:jc w:val="left"/>
              <w:rPr>
                <w:rFonts w:ascii="Segoe UI" w:eastAsia="宋体" w:hAnsi="Segoe UI" w:cs="Segoe UI"/>
                <w:color w:val="333333"/>
                <w:kern w:val="0"/>
                <w:sz w:val="18"/>
                <w:szCs w:val="18"/>
              </w:rPr>
            </w:pPr>
            <w:r w:rsidRPr="003B106F">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B106F" w:rsidRPr="003B106F" w:rsidRDefault="003B106F" w:rsidP="003B106F">
            <w:pPr>
              <w:widowControl/>
              <w:jc w:val="center"/>
              <w:rPr>
                <w:rFonts w:ascii="Segoe UI" w:eastAsia="宋体" w:hAnsi="Segoe UI" w:cs="Segoe UI"/>
                <w:color w:val="000000"/>
                <w:kern w:val="0"/>
                <w:sz w:val="18"/>
                <w:szCs w:val="18"/>
              </w:rPr>
            </w:pPr>
            <w:r w:rsidRPr="003B106F">
              <w:rPr>
                <w:rFonts w:ascii="Segoe UI" w:eastAsia="宋体" w:hAnsi="Segoe UI" w:cs="Segoe UI"/>
                <w:color w:val="000000"/>
                <w:kern w:val="0"/>
                <w:sz w:val="18"/>
                <w:szCs w:val="18"/>
              </w:rPr>
              <w:object w:dxaOrig="1440" w:dyaOrig="1440">
                <v:shape id="_x0000_i1286" type="#_x0000_t75" style="width:20.25pt;height:15.75pt" o:ole="">
                  <v:imagedata r:id="rId9" o:title=""/>
                </v:shape>
                <w:control r:id="rId89" w:name="DefaultOcxName226" w:shapeid="_x0000_i128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B106F" w:rsidRPr="003B106F" w:rsidRDefault="003B106F" w:rsidP="003B106F">
            <w:pPr>
              <w:widowControl/>
              <w:jc w:val="left"/>
              <w:rPr>
                <w:rFonts w:ascii="Segoe UI" w:eastAsia="宋体" w:hAnsi="Segoe UI" w:cs="Segoe UI"/>
                <w:color w:val="000000"/>
                <w:kern w:val="0"/>
                <w:sz w:val="18"/>
                <w:szCs w:val="18"/>
              </w:rPr>
            </w:pPr>
            <w:r w:rsidRPr="003B106F">
              <w:rPr>
                <w:rFonts w:ascii="Segoe UI" w:eastAsia="宋体" w:hAnsi="Segoe UI" w:cs="Segoe UI"/>
                <w:b/>
                <w:bCs/>
                <w:color w:val="000000"/>
                <w:kern w:val="0"/>
                <w:sz w:val="18"/>
                <w:szCs w:val="18"/>
              </w:rPr>
              <w:t>C.</w:t>
            </w:r>
            <w:r w:rsidRPr="003B106F">
              <w:rPr>
                <w:rFonts w:ascii="Segoe UI" w:eastAsia="宋体" w:hAnsi="Segoe UI" w:cs="Segoe UI"/>
                <w:color w:val="000000"/>
                <w:kern w:val="0"/>
                <w:sz w:val="18"/>
                <w:szCs w:val="18"/>
              </w:rPr>
              <w:t xml:space="preserve"> $125,000.</w:t>
            </w:r>
          </w:p>
        </w:tc>
        <w:tc>
          <w:tcPr>
            <w:tcW w:w="0" w:type="auto"/>
            <w:vAlign w:val="center"/>
            <w:hideMark/>
          </w:tcPr>
          <w:p w:rsidR="003B106F" w:rsidRPr="003B106F" w:rsidRDefault="003B106F" w:rsidP="003B106F">
            <w:pPr>
              <w:widowControl/>
              <w:jc w:val="left"/>
              <w:rPr>
                <w:rFonts w:ascii="Times New Roman" w:eastAsia="Times New Roman" w:hAnsi="Times New Roman" w:cs="Times New Roman"/>
                <w:kern w:val="0"/>
                <w:sz w:val="20"/>
                <w:szCs w:val="20"/>
              </w:rPr>
            </w:pPr>
          </w:p>
        </w:tc>
        <w:tc>
          <w:tcPr>
            <w:tcW w:w="0" w:type="auto"/>
            <w:vAlign w:val="center"/>
            <w:hideMark/>
          </w:tcPr>
          <w:p w:rsidR="003B106F" w:rsidRPr="003B106F" w:rsidRDefault="003B106F" w:rsidP="003B106F">
            <w:pPr>
              <w:widowControl/>
              <w:jc w:val="left"/>
              <w:rPr>
                <w:rFonts w:ascii="Times New Roman" w:eastAsia="Times New Roman" w:hAnsi="Times New Roman" w:cs="Times New Roman"/>
                <w:kern w:val="0"/>
                <w:sz w:val="20"/>
                <w:szCs w:val="20"/>
              </w:rPr>
            </w:pPr>
          </w:p>
        </w:tc>
        <w:tc>
          <w:tcPr>
            <w:tcW w:w="0" w:type="auto"/>
            <w:vAlign w:val="center"/>
            <w:hideMark/>
          </w:tcPr>
          <w:p w:rsidR="003B106F" w:rsidRPr="003B106F" w:rsidRDefault="003B106F" w:rsidP="003B106F">
            <w:pPr>
              <w:widowControl/>
              <w:jc w:val="left"/>
              <w:rPr>
                <w:rFonts w:ascii="Times New Roman" w:eastAsia="Times New Roman" w:hAnsi="Times New Roman" w:cs="Times New Roman"/>
                <w:kern w:val="0"/>
                <w:sz w:val="20"/>
                <w:szCs w:val="20"/>
              </w:rPr>
            </w:pPr>
          </w:p>
        </w:tc>
      </w:tr>
      <w:tr w:rsidR="003B106F" w:rsidRPr="003B106F" w:rsidTr="003B106F">
        <w:trPr>
          <w:trHeight w:val="525"/>
          <w:tblCellSpacing w:w="15" w:type="dxa"/>
        </w:trPr>
        <w:tc>
          <w:tcPr>
            <w:tcW w:w="375" w:type="dxa"/>
            <w:noWrap/>
            <w:vAlign w:val="center"/>
            <w:hideMark/>
          </w:tcPr>
          <w:p w:rsidR="003B106F" w:rsidRPr="003B106F" w:rsidRDefault="003B106F" w:rsidP="003B106F">
            <w:pPr>
              <w:widowControl/>
              <w:jc w:val="center"/>
              <w:rPr>
                <w:rFonts w:ascii="Segoe UI" w:eastAsia="宋体" w:hAnsi="Segoe UI" w:cs="Segoe UI"/>
                <w:color w:val="333333"/>
                <w:kern w:val="0"/>
                <w:sz w:val="18"/>
                <w:szCs w:val="18"/>
              </w:rPr>
            </w:pPr>
            <w:r w:rsidRPr="003B106F">
              <w:rPr>
                <w:rFonts w:ascii="Segoe UI" w:eastAsia="宋体" w:hAnsi="Segoe UI" w:cs="Segoe UI"/>
                <w:color w:val="333333"/>
                <w:kern w:val="0"/>
                <w:sz w:val="18"/>
                <w:szCs w:val="18"/>
              </w:rPr>
              <w:t> </w:t>
            </w:r>
          </w:p>
        </w:tc>
        <w:tc>
          <w:tcPr>
            <w:tcW w:w="0" w:type="auto"/>
            <w:gridSpan w:val="5"/>
            <w:shd w:val="clear" w:color="auto" w:fill="9ACD32"/>
            <w:vAlign w:val="center"/>
            <w:hideMark/>
          </w:tcPr>
          <w:p w:rsidR="003B106F" w:rsidRPr="003B106F" w:rsidRDefault="003B106F" w:rsidP="003B106F">
            <w:pPr>
              <w:widowControl/>
              <w:jc w:val="left"/>
              <w:rPr>
                <w:rFonts w:ascii="Segoe UI" w:eastAsia="宋体" w:hAnsi="Segoe UI" w:cs="Segoe UI"/>
                <w:color w:val="333333"/>
                <w:kern w:val="0"/>
                <w:sz w:val="18"/>
                <w:szCs w:val="18"/>
              </w:rPr>
            </w:pPr>
            <w:r w:rsidRPr="003B106F">
              <w:rPr>
                <w:rFonts w:ascii="Segoe UI" w:eastAsia="宋体" w:hAnsi="Segoe UI" w:cs="Segoe UI"/>
                <w:b/>
                <w:bCs/>
                <w:color w:val="000080"/>
                <w:kern w:val="0"/>
                <w:sz w:val="16"/>
                <w:szCs w:val="16"/>
              </w:rPr>
              <w:t>Feedback:</w:t>
            </w:r>
            <w:r w:rsidRPr="003B106F">
              <w:rPr>
                <w:rFonts w:ascii="Segoe UI" w:eastAsia="宋体" w:hAnsi="Segoe UI" w:cs="Segoe UI"/>
                <w:color w:val="333333"/>
                <w:kern w:val="0"/>
                <w:sz w:val="18"/>
                <w:szCs w:val="18"/>
              </w:rPr>
              <w:t xml:space="preserve"> You have answered correctly.</w:t>
            </w:r>
            <w:r w:rsidRPr="003B106F">
              <w:rPr>
                <w:rFonts w:ascii="Segoe UI" w:eastAsia="宋体" w:hAnsi="Segoe UI" w:cs="Segoe UI"/>
                <w:color w:val="333333"/>
                <w:kern w:val="0"/>
                <w:sz w:val="18"/>
                <w:szCs w:val="18"/>
              </w:rPr>
              <w:br/>
            </w:r>
            <w:r w:rsidRPr="003B106F">
              <w:rPr>
                <w:rFonts w:ascii="Segoe UI" w:eastAsia="宋体" w:hAnsi="Segoe UI" w:cs="Segoe UI"/>
                <w:color w:val="333333"/>
                <w:kern w:val="0"/>
                <w:sz w:val="18"/>
                <w:szCs w:val="18"/>
              </w:rPr>
              <w:br/>
              <w:t xml:space="preserve">Correct answer: </w:t>
            </w:r>
            <w:r w:rsidRPr="003B106F">
              <w:rPr>
                <w:rFonts w:ascii="Segoe UI" w:eastAsia="宋体" w:hAnsi="Segoe UI" w:cs="Segoe UI"/>
                <w:b/>
                <w:bCs/>
                <w:color w:val="333333"/>
                <w:kern w:val="0"/>
                <w:sz w:val="18"/>
                <w:szCs w:val="18"/>
              </w:rPr>
              <w:t>A</w:t>
            </w:r>
            <w:r w:rsidRPr="003B106F">
              <w:rPr>
                <w:rFonts w:ascii="Segoe UI" w:eastAsia="宋体" w:hAnsi="Segoe UI" w:cs="Segoe UI"/>
                <w:color w:val="333333"/>
                <w:kern w:val="0"/>
                <w:sz w:val="18"/>
                <w:szCs w:val="18"/>
              </w:rPr>
              <w:br/>
            </w:r>
            <w:r w:rsidRPr="003B106F">
              <w:rPr>
                <w:rFonts w:ascii="Segoe UI" w:eastAsia="宋体" w:hAnsi="Segoe UI" w:cs="Segoe UI"/>
                <w:color w:val="333333"/>
                <w:kern w:val="0"/>
                <w:sz w:val="18"/>
                <w:szCs w:val="18"/>
              </w:rPr>
              <w:br/>
              <w:t xml:space="preserve">"Understanding the Balance Sheet," Thomas R. Robinson, CFA, Jan </w:t>
            </w:r>
            <w:proofErr w:type="spellStart"/>
            <w:r w:rsidRPr="003B106F">
              <w:rPr>
                <w:rFonts w:ascii="Segoe UI" w:eastAsia="宋体" w:hAnsi="Segoe UI" w:cs="Segoe UI"/>
                <w:color w:val="333333"/>
                <w:kern w:val="0"/>
                <w:sz w:val="18"/>
                <w:szCs w:val="18"/>
              </w:rPr>
              <w:t>Hendrik</w:t>
            </w:r>
            <w:proofErr w:type="spellEnd"/>
            <w:r w:rsidRPr="003B106F">
              <w:rPr>
                <w:rFonts w:ascii="Segoe UI" w:eastAsia="宋体" w:hAnsi="Segoe UI" w:cs="Segoe UI"/>
                <w:color w:val="333333"/>
                <w:kern w:val="0"/>
                <w:sz w:val="18"/>
                <w:szCs w:val="18"/>
              </w:rPr>
              <w:t xml:space="preserve"> van </w:t>
            </w:r>
            <w:proofErr w:type="spellStart"/>
            <w:r w:rsidRPr="003B106F">
              <w:rPr>
                <w:rFonts w:ascii="Segoe UI" w:eastAsia="宋体" w:hAnsi="Segoe UI" w:cs="Segoe UI"/>
                <w:color w:val="333333"/>
                <w:kern w:val="0"/>
                <w:sz w:val="18"/>
                <w:szCs w:val="18"/>
              </w:rPr>
              <w:t>Greuning</w:t>
            </w:r>
            <w:proofErr w:type="spellEnd"/>
            <w:r w:rsidRPr="003B106F">
              <w:rPr>
                <w:rFonts w:ascii="Segoe UI" w:eastAsia="宋体" w:hAnsi="Segoe UI" w:cs="Segoe UI"/>
                <w:color w:val="333333"/>
                <w:kern w:val="0"/>
                <w:sz w:val="18"/>
                <w:szCs w:val="18"/>
              </w:rPr>
              <w:t xml:space="preserve">, CFA, Elaine Henry, CFA, and Michael A. </w:t>
            </w:r>
            <w:proofErr w:type="spellStart"/>
            <w:r w:rsidRPr="003B106F">
              <w:rPr>
                <w:rFonts w:ascii="Segoe UI" w:eastAsia="宋体" w:hAnsi="Segoe UI" w:cs="Segoe UI"/>
                <w:color w:val="333333"/>
                <w:kern w:val="0"/>
                <w:sz w:val="18"/>
                <w:szCs w:val="18"/>
              </w:rPr>
              <w:t>Broihahn</w:t>
            </w:r>
            <w:proofErr w:type="spellEnd"/>
            <w:r w:rsidRPr="003B106F">
              <w:rPr>
                <w:rFonts w:ascii="Segoe UI" w:eastAsia="宋体" w:hAnsi="Segoe UI" w:cs="Segoe UI"/>
                <w:color w:val="333333"/>
                <w:kern w:val="0"/>
                <w:sz w:val="18"/>
                <w:szCs w:val="18"/>
              </w:rPr>
              <w:t>, CFA</w:t>
            </w:r>
            <w:r w:rsidRPr="003B106F">
              <w:rPr>
                <w:rFonts w:ascii="Segoe UI" w:eastAsia="宋体" w:hAnsi="Segoe UI" w:cs="Segoe UI"/>
                <w:color w:val="333333"/>
                <w:kern w:val="0"/>
                <w:sz w:val="18"/>
                <w:szCs w:val="18"/>
              </w:rPr>
              <w:br/>
              <w:t>2011 Modular Level I, Vol. 3, pp. 218–222</w:t>
            </w:r>
            <w:r w:rsidRPr="003B106F">
              <w:rPr>
                <w:rFonts w:ascii="Segoe UI" w:eastAsia="宋体" w:hAnsi="Segoe UI" w:cs="Segoe UI"/>
                <w:color w:val="333333"/>
                <w:kern w:val="0"/>
                <w:sz w:val="18"/>
                <w:szCs w:val="18"/>
              </w:rPr>
              <w:br/>
              <w:t>Study Session 8–33–e</w:t>
            </w:r>
            <w:r w:rsidRPr="003B106F">
              <w:rPr>
                <w:rFonts w:ascii="Segoe UI" w:eastAsia="宋体" w:hAnsi="Segoe UI" w:cs="Segoe UI"/>
                <w:color w:val="333333"/>
                <w:kern w:val="0"/>
                <w:sz w:val="18"/>
                <w:szCs w:val="18"/>
              </w:rPr>
              <w:br/>
              <w:t>Explain the measurement bases (e.g., historical cost and fair value) of assets and liabilities, including current assets, current liabilities, tangible assets, and intangible assets.</w:t>
            </w:r>
            <w:r w:rsidRPr="003B106F">
              <w:rPr>
                <w:rFonts w:ascii="Segoe UI" w:eastAsia="宋体" w:hAnsi="Segoe UI" w:cs="Segoe UI"/>
                <w:color w:val="333333"/>
                <w:kern w:val="0"/>
                <w:sz w:val="18"/>
                <w:szCs w:val="18"/>
              </w:rPr>
              <w:br/>
            </w:r>
            <w:r w:rsidRPr="003B106F">
              <w:rPr>
                <w:rFonts w:ascii="Segoe UI" w:eastAsia="宋体" w:hAnsi="Segoe UI" w:cs="Segoe UI"/>
                <w:color w:val="333333"/>
                <w:kern w:val="0"/>
                <w:sz w:val="18"/>
                <w:szCs w:val="18"/>
              </w:rPr>
              <w:br/>
              <w:t xml:space="preserve">The customer list is the only identifiable intangible asset and it should be amortized on a straight-line basis over its expected future life: $100,000 / 4 = $25,000 per year. Goodwill is an </w:t>
            </w:r>
            <w:r w:rsidRPr="003B106F">
              <w:rPr>
                <w:rFonts w:ascii="Segoe UI" w:eastAsia="宋体" w:hAnsi="Segoe UI" w:cs="Segoe UI"/>
                <w:color w:val="333333"/>
                <w:kern w:val="0"/>
                <w:sz w:val="18"/>
                <w:szCs w:val="18"/>
              </w:rPr>
              <w:lastRenderedPageBreak/>
              <w:t>unidentifiable intangible and should be tested for impairment but not amortized. If the reputation of the company has been enhanced as the CEO suggests, this is an internally generated intangible that is not recorded on the balance sheet and is therefore not amortized. </w:t>
            </w:r>
          </w:p>
        </w:tc>
      </w:tr>
    </w:tbl>
    <w:p w:rsidR="00BA3E11" w:rsidRDefault="00BA3E11">
      <w:pPr>
        <w:rPr>
          <w:rFonts w:hint="eastAsia"/>
        </w:rPr>
      </w:pPr>
    </w:p>
    <w:tbl>
      <w:tblPr>
        <w:tblW w:w="5000" w:type="pct"/>
        <w:tblCellSpacing w:w="15" w:type="dxa"/>
        <w:tblCellMar>
          <w:top w:w="30" w:type="dxa"/>
          <w:left w:w="30" w:type="dxa"/>
          <w:bottom w:w="30" w:type="dxa"/>
          <w:right w:w="30" w:type="dxa"/>
        </w:tblCellMar>
        <w:tblLook w:val="04A0"/>
      </w:tblPr>
      <w:tblGrid>
        <w:gridCol w:w="420"/>
        <w:gridCol w:w="736"/>
        <w:gridCol w:w="6997"/>
        <w:gridCol w:w="96"/>
        <w:gridCol w:w="96"/>
        <w:gridCol w:w="111"/>
      </w:tblGrid>
      <w:tr w:rsidR="009E2EA0" w:rsidRPr="009E2EA0" w:rsidTr="009E2EA0">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E2EA0" w:rsidRPr="009E2EA0" w:rsidRDefault="009E2EA0" w:rsidP="009E2EA0">
            <w:pPr>
              <w:widowControl/>
              <w:jc w:val="left"/>
              <w:rPr>
                <w:rFonts w:ascii="Segoe UI" w:eastAsia="宋体" w:hAnsi="Segoe UI" w:cs="Segoe UI"/>
                <w:b/>
                <w:bCs/>
                <w:color w:val="000000"/>
                <w:kern w:val="0"/>
                <w:sz w:val="18"/>
                <w:szCs w:val="18"/>
              </w:rPr>
            </w:pPr>
            <w:r w:rsidRPr="009E2EA0">
              <w:rPr>
                <w:rFonts w:ascii="Segoe UI" w:eastAsia="宋体" w:hAnsi="Segoe UI" w:cs="Segoe UI"/>
                <w:b/>
                <w:bCs/>
                <w:color w:val="000000"/>
                <w:kern w:val="0"/>
                <w:sz w:val="18"/>
                <w:szCs w:val="18"/>
              </w:rPr>
              <w:t>28</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The following items are from a company’s Cash Flow Statement.</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06"/>
              <w:gridCol w:w="3396"/>
              <w:gridCol w:w="1883"/>
            </w:tblGrid>
            <w:tr w:rsidR="009E2EA0" w:rsidRPr="009E2EA0">
              <w:trPr>
                <w:tblCellSpacing w:w="15" w:type="dxa"/>
              </w:trPr>
              <w:tc>
                <w:tcPr>
                  <w:tcW w:w="2685" w:type="dxa"/>
                  <w:tcBorders>
                    <w:top w:val="outset" w:sz="6" w:space="0" w:color="auto"/>
                    <w:left w:val="outset" w:sz="6" w:space="0" w:color="auto"/>
                    <w:bottom w:val="outset" w:sz="6" w:space="0" w:color="auto"/>
                    <w:right w:val="outset" w:sz="6" w:space="0" w:color="auto"/>
                  </w:tcBorders>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b/>
                      <w:bCs/>
                      <w:color w:val="333333"/>
                      <w:kern w:val="0"/>
                      <w:sz w:val="18"/>
                      <w:szCs w:val="18"/>
                    </w:rPr>
                    <w:t>Classification of cash flow</w:t>
                  </w:r>
                </w:p>
              </w:tc>
              <w:tc>
                <w:tcPr>
                  <w:tcW w:w="3585" w:type="dxa"/>
                  <w:tcBorders>
                    <w:top w:val="outset" w:sz="6" w:space="0" w:color="auto"/>
                    <w:left w:val="outset" w:sz="6" w:space="0" w:color="auto"/>
                    <w:bottom w:val="outset" w:sz="6" w:space="0" w:color="auto"/>
                    <w:right w:val="outset" w:sz="6" w:space="0" w:color="auto"/>
                  </w:tcBorders>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b/>
                      <w:bCs/>
                      <w:color w:val="333333"/>
                      <w:kern w:val="0"/>
                      <w:sz w:val="18"/>
                      <w:szCs w:val="18"/>
                    </w:rPr>
                    <w:t xml:space="preserve">Item </w:t>
                  </w:r>
                </w:p>
              </w:tc>
              <w:tc>
                <w:tcPr>
                  <w:tcW w:w="193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b/>
                      <w:bCs/>
                      <w:color w:val="333333"/>
                      <w:kern w:val="0"/>
                      <w:sz w:val="18"/>
                      <w:szCs w:val="18"/>
                    </w:rPr>
                    <w:t>Amount (£-000s)</w:t>
                  </w:r>
                </w:p>
              </w:tc>
            </w:tr>
            <w:tr w:rsidR="009E2EA0" w:rsidRPr="009E2EA0">
              <w:trPr>
                <w:tblCellSpacing w:w="15" w:type="dxa"/>
              </w:trPr>
              <w:tc>
                <w:tcPr>
                  <w:tcW w:w="268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Operating activities</w:t>
                  </w:r>
                </w:p>
              </w:tc>
              <w:tc>
                <w:tcPr>
                  <w:tcW w:w="358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Cash received from customers</w:t>
                  </w:r>
                </w:p>
              </w:tc>
              <w:tc>
                <w:tcPr>
                  <w:tcW w:w="193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55,000</w:t>
                  </w:r>
                </w:p>
              </w:tc>
            </w:tr>
            <w:tr w:rsidR="009E2EA0" w:rsidRPr="009E2EA0">
              <w:trPr>
                <w:tblCellSpacing w:w="15" w:type="dxa"/>
              </w:trPr>
              <w:tc>
                <w:tcPr>
                  <w:tcW w:w="268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Investing activities</w:t>
                  </w:r>
                </w:p>
              </w:tc>
              <w:tc>
                <w:tcPr>
                  <w:tcW w:w="358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Interest and dividends received</w:t>
                  </w:r>
                </w:p>
              </w:tc>
              <w:tc>
                <w:tcPr>
                  <w:tcW w:w="193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10,000</w:t>
                  </w:r>
                </w:p>
              </w:tc>
            </w:tr>
            <w:tr w:rsidR="009E2EA0" w:rsidRPr="009E2EA0">
              <w:trPr>
                <w:tblCellSpacing w:w="15" w:type="dxa"/>
              </w:trPr>
              <w:tc>
                <w:tcPr>
                  <w:tcW w:w="268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Financing activities</w:t>
                  </w:r>
                </w:p>
              </w:tc>
              <w:tc>
                <w:tcPr>
                  <w:tcW w:w="358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Net repayment of revolving credit loan</w:t>
                  </w:r>
                </w:p>
              </w:tc>
              <w:tc>
                <w:tcPr>
                  <w:tcW w:w="193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12,000</w:t>
                  </w:r>
                </w:p>
              </w:tc>
            </w:tr>
          </w:tbl>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br/>
              <w:t xml:space="preserve">Which of the following standards and formats did the company </w:t>
            </w:r>
            <w:r w:rsidRPr="009E2EA0">
              <w:rPr>
                <w:rFonts w:ascii="Segoe UI" w:eastAsia="宋体" w:hAnsi="Segoe UI" w:cs="Segoe UI"/>
                <w:i/>
                <w:iCs/>
                <w:color w:val="333333"/>
                <w:kern w:val="0"/>
                <w:sz w:val="18"/>
                <w:szCs w:val="18"/>
              </w:rPr>
              <w:t>most likely</w:t>
            </w:r>
            <w:r w:rsidRPr="009E2EA0">
              <w:rPr>
                <w:rFonts w:ascii="Segoe UI" w:eastAsia="宋体" w:hAnsi="Segoe UI" w:cs="Segoe UI"/>
                <w:color w:val="333333"/>
                <w:kern w:val="0"/>
                <w:sz w:val="18"/>
                <w:szCs w:val="18"/>
              </w:rPr>
              <w:t xml:space="preserve"> use in the preparation of its financial statements?</w:t>
            </w:r>
          </w:p>
        </w:tc>
      </w:tr>
      <w:tr w:rsidR="009E2EA0" w:rsidRPr="009E2EA0" w:rsidTr="009E2EA0">
        <w:trPr>
          <w:trHeight w:val="525"/>
          <w:tblCellSpacing w:w="15" w:type="dxa"/>
        </w:trPr>
        <w:tc>
          <w:tcPr>
            <w:tcW w:w="375" w:type="dxa"/>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E2EA0" w:rsidRPr="009E2EA0" w:rsidRDefault="009E2EA0" w:rsidP="009E2EA0">
            <w:pPr>
              <w:widowControl/>
              <w:jc w:val="center"/>
              <w:rPr>
                <w:rFonts w:ascii="Segoe UI" w:eastAsia="宋体" w:hAnsi="Segoe UI" w:cs="Segoe UI"/>
                <w:color w:val="000000"/>
                <w:kern w:val="0"/>
                <w:sz w:val="18"/>
                <w:szCs w:val="18"/>
              </w:rPr>
            </w:pPr>
            <w:r w:rsidRPr="009E2EA0">
              <w:rPr>
                <w:rFonts w:ascii="Segoe UI" w:eastAsia="宋体" w:hAnsi="Segoe UI" w:cs="Segoe UI"/>
                <w:color w:val="000000"/>
                <w:kern w:val="0"/>
                <w:sz w:val="18"/>
                <w:szCs w:val="18"/>
              </w:rPr>
              <w:object w:dxaOrig="1440" w:dyaOrig="1440">
                <v:shape id="_x0000_i1297" type="#_x0000_t75" style="width:20.25pt;height:15.75pt" o:ole="">
                  <v:imagedata r:id="rId7" o:title=""/>
                </v:shape>
                <w:control r:id="rId90" w:name="DefaultOcxName47" w:shapeid="_x0000_i129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E2EA0" w:rsidRPr="009E2EA0" w:rsidRDefault="009E2EA0" w:rsidP="009E2EA0">
            <w:pPr>
              <w:widowControl/>
              <w:jc w:val="left"/>
              <w:rPr>
                <w:rFonts w:ascii="Segoe UI" w:eastAsia="宋体" w:hAnsi="Segoe UI" w:cs="Segoe UI"/>
                <w:color w:val="000000"/>
                <w:kern w:val="0"/>
                <w:sz w:val="18"/>
                <w:szCs w:val="18"/>
              </w:rPr>
            </w:pPr>
            <w:r w:rsidRPr="009E2EA0">
              <w:rPr>
                <w:rFonts w:ascii="Segoe UI" w:eastAsia="宋体" w:hAnsi="Segoe UI" w:cs="Segoe UI"/>
                <w:b/>
                <w:bCs/>
                <w:color w:val="000000"/>
                <w:kern w:val="0"/>
                <w:sz w:val="18"/>
                <w:szCs w:val="18"/>
              </w:rPr>
              <w:t>A.</w:t>
            </w:r>
            <w:r w:rsidRPr="009E2EA0">
              <w:rPr>
                <w:rFonts w:ascii="Segoe UI" w:eastAsia="宋体" w:hAnsi="Segoe UI" w:cs="Segoe UI"/>
                <w:color w:val="000000"/>
                <w:kern w:val="0"/>
                <w:sz w:val="18"/>
                <w:szCs w:val="18"/>
              </w:rPr>
              <w:t xml:space="preserve"> IFRS, direct format</w:t>
            </w: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r>
      <w:tr w:rsidR="009E2EA0" w:rsidRPr="009E2EA0" w:rsidTr="009E2EA0">
        <w:trPr>
          <w:trHeight w:val="525"/>
          <w:tblCellSpacing w:w="15" w:type="dxa"/>
        </w:trPr>
        <w:tc>
          <w:tcPr>
            <w:tcW w:w="375" w:type="dxa"/>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E2EA0" w:rsidRPr="009E2EA0" w:rsidRDefault="009E2EA0" w:rsidP="009E2EA0">
            <w:pPr>
              <w:widowControl/>
              <w:jc w:val="center"/>
              <w:rPr>
                <w:rFonts w:ascii="Segoe UI" w:eastAsia="宋体" w:hAnsi="Segoe UI" w:cs="Segoe UI"/>
                <w:color w:val="000000"/>
                <w:kern w:val="0"/>
                <w:sz w:val="18"/>
                <w:szCs w:val="18"/>
              </w:rPr>
            </w:pPr>
            <w:r w:rsidRPr="009E2EA0">
              <w:rPr>
                <w:rFonts w:ascii="Segoe UI" w:eastAsia="宋体" w:hAnsi="Segoe UI" w:cs="Segoe UI"/>
                <w:color w:val="000000"/>
                <w:kern w:val="0"/>
                <w:sz w:val="18"/>
                <w:szCs w:val="18"/>
              </w:rPr>
              <w:object w:dxaOrig="1440" w:dyaOrig="1440">
                <v:shape id="_x0000_i1296" type="#_x0000_t75" style="width:20.25pt;height:15.75pt" o:ole="">
                  <v:imagedata r:id="rId9" o:title=""/>
                </v:shape>
                <w:control r:id="rId91" w:name="DefaultOcxName127" w:shapeid="_x0000_i129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E2EA0" w:rsidRPr="009E2EA0" w:rsidRDefault="009E2EA0" w:rsidP="009E2EA0">
            <w:pPr>
              <w:widowControl/>
              <w:jc w:val="left"/>
              <w:rPr>
                <w:rFonts w:ascii="Segoe UI" w:eastAsia="宋体" w:hAnsi="Segoe UI" w:cs="Segoe UI"/>
                <w:color w:val="000000"/>
                <w:kern w:val="0"/>
                <w:sz w:val="18"/>
                <w:szCs w:val="18"/>
              </w:rPr>
            </w:pPr>
            <w:r w:rsidRPr="009E2EA0">
              <w:rPr>
                <w:rFonts w:ascii="Segoe UI" w:eastAsia="宋体" w:hAnsi="Segoe UI" w:cs="Segoe UI"/>
                <w:b/>
                <w:bCs/>
                <w:color w:val="000000"/>
                <w:kern w:val="0"/>
                <w:sz w:val="18"/>
                <w:szCs w:val="18"/>
              </w:rPr>
              <w:t>B.</w:t>
            </w:r>
            <w:r w:rsidRPr="009E2EA0">
              <w:rPr>
                <w:rFonts w:ascii="Segoe UI" w:eastAsia="宋体" w:hAnsi="Segoe UI" w:cs="Segoe UI"/>
                <w:color w:val="000000"/>
                <w:kern w:val="0"/>
                <w:sz w:val="18"/>
                <w:szCs w:val="18"/>
              </w:rPr>
              <w:t xml:space="preserve"> IFRS, indirect format</w:t>
            </w: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r>
      <w:tr w:rsidR="009E2EA0" w:rsidRPr="009E2EA0" w:rsidTr="009E2EA0">
        <w:trPr>
          <w:trHeight w:val="525"/>
          <w:tblCellSpacing w:w="15" w:type="dxa"/>
        </w:trPr>
        <w:tc>
          <w:tcPr>
            <w:tcW w:w="375" w:type="dxa"/>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E2EA0" w:rsidRPr="009E2EA0" w:rsidRDefault="009E2EA0" w:rsidP="009E2EA0">
            <w:pPr>
              <w:widowControl/>
              <w:jc w:val="center"/>
              <w:rPr>
                <w:rFonts w:ascii="Segoe UI" w:eastAsia="宋体" w:hAnsi="Segoe UI" w:cs="Segoe UI"/>
                <w:color w:val="000000"/>
                <w:kern w:val="0"/>
                <w:sz w:val="18"/>
                <w:szCs w:val="18"/>
              </w:rPr>
            </w:pPr>
            <w:r w:rsidRPr="009E2EA0">
              <w:rPr>
                <w:rFonts w:ascii="Segoe UI" w:eastAsia="宋体" w:hAnsi="Segoe UI" w:cs="Segoe UI"/>
                <w:color w:val="000000"/>
                <w:kern w:val="0"/>
                <w:sz w:val="18"/>
                <w:szCs w:val="18"/>
              </w:rPr>
              <w:object w:dxaOrig="1440" w:dyaOrig="1440">
                <v:shape id="_x0000_i1295" type="#_x0000_t75" style="width:20.25pt;height:15.75pt" o:ole="">
                  <v:imagedata r:id="rId9" o:title=""/>
                </v:shape>
                <w:control r:id="rId92" w:name="DefaultOcxName227" w:shapeid="_x0000_i129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E2EA0" w:rsidRPr="009E2EA0" w:rsidRDefault="009E2EA0" w:rsidP="009E2EA0">
            <w:pPr>
              <w:widowControl/>
              <w:jc w:val="left"/>
              <w:rPr>
                <w:rFonts w:ascii="Segoe UI" w:eastAsia="宋体" w:hAnsi="Segoe UI" w:cs="Segoe UI"/>
                <w:color w:val="000000"/>
                <w:kern w:val="0"/>
                <w:sz w:val="18"/>
                <w:szCs w:val="18"/>
              </w:rPr>
            </w:pPr>
            <w:r w:rsidRPr="009E2EA0">
              <w:rPr>
                <w:rFonts w:ascii="Segoe UI" w:eastAsia="宋体" w:hAnsi="Segoe UI" w:cs="Segoe UI"/>
                <w:b/>
                <w:bCs/>
                <w:color w:val="000000"/>
                <w:kern w:val="0"/>
                <w:sz w:val="18"/>
                <w:szCs w:val="18"/>
              </w:rPr>
              <w:t>C.</w:t>
            </w:r>
            <w:r w:rsidRPr="009E2EA0">
              <w:rPr>
                <w:rFonts w:ascii="Segoe UI" w:eastAsia="宋体" w:hAnsi="Segoe UI" w:cs="Segoe UI"/>
                <w:color w:val="000000"/>
                <w:kern w:val="0"/>
                <w:sz w:val="18"/>
                <w:szCs w:val="18"/>
              </w:rPr>
              <w:t xml:space="preserve"> Either IFRS or U.S. GAAP, direct format</w:t>
            </w: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r>
      <w:tr w:rsidR="009E2EA0" w:rsidRPr="009E2EA0" w:rsidTr="009E2EA0">
        <w:trPr>
          <w:trHeight w:val="525"/>
          <w:tblCellSpacing w:w="15" w:type="dxa"/>
        </w:trPr>
        <w:tc>
          <w:tcPr>
            <w:tcW w:w="375" w:type="dxa"/>
            <w:noWrap/>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0" w:type="auto"/>
            <w:gridSpan w:val="5"/>
            <w:shd w:val="clear" w:color="auto" w:fill="9ACD32"/>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b/>
                <w:bCs/>
                <w:color w:val="000080"/>
                <w:kern w:val="0"/>
                <w:sz w:val="16"/>
                <w:szCs w:val="16"/>
              </w:rPr>
              <w:t>Feedback:</w:t>
            </w:r>
            <w:r w:rsidRPr="009E2EA0">
              <w:rPr>
                <w:rFonts w:ascii="Segoe UI" w:eastAsia="宋体" w:hAnsi="Segoe UI" w:cs="Segoe UI"/>
                <w:color w:val="333333"/>
                <w:kern w:val="0"/>
                <w:sz w:val="18"/>
                <w:szCs w:val="18"/>
              </w:rPr>
              <w:t xml:space="preserve"> You have answered correctly.</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t xml:space="preserve">Correct answer: </w:t>
            </w:r>
            <w:r w:rsidRPr="009E2EA0">
              <w:rPr>
                <w:rFonts w:ascii="Segoe UI" w:eastAsia="宋体" w:hAnsi="Segoe UI" w:cs="Segoe UI"/>
                <w:b/>
                <w:bCs/>
                <w:color w:val="333333"/>
                <w:kern w:val="0"/>
                <w:sz w:val="18"/>
                <w:szCs w:val="18"/>
              </w:rPr>
              <w:t>A</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t xml:space="preserve">"Understanding the Cash Flow Statement," Thomas R. Robinson, CFA, Jan </w:t>
            </w:r>
            <w:proofErr w:type="spellStart"/>
            <w:r w:rsidRPr="009E2EA0">
              <w:rPr>
                <w:rFonts w:ascii="Segoe UI" w:eastAsia="宋体" w:hAnsi="Segoe UI" w:cs="Segoe UI"/>
                <w:color w:val="333333"/>
                <w:kern w:val="0"/>
                <w:sz w:val="18"/>
                <w:szCs w:val="18"/>
              </w:rPr>
              <w:t>Hendrik</w:t>
            </w:r>
            <w:proofErr w:type="spellEnd"/>
            <w:r w:rsidRPr="009E2EA0">
              <w:rPr>
                <w:rFonts w:ascii="Segoe UI" w:eastAsia="宋体" w:hAnsi="Segoe UI" w:cs="Segoe UI"/>
                <w:color w:val="333333"/>
                <w:kern w:val="0"/>
                <w:sz w:val="18"/>
                <w:szCs w:val="18"/>
              </w:rPr>
              <w:t xml:space="preserve"> van </w:t>
            </w:r>
            <w:proofErr w:type="spellStart"/>
            <w:r w:rsidRPr="009E2EA0">
              <w:rPr>
                <w:rFonts w:ascii="Segoe UI" w:eastAsia="宋体" w:hAnsi="Segoe UI" w:cs="Segoe UI"/>
                <w:color w:val="333333"/>
                <w:kern w:val="0"/>
                <w:sz w:val="18"/>
                <w:szCs w:val="18"/>
              </w:rPr>
              <w:t>Greuning</w:t>
            </w:r>
            <w:proofErr w:type="spellEnd"/>
            <w:r w:rsidRPr="009E2EA0">
              <w:rPr>
                <w:rFonts w:ascii="Segoe UI" w:eastAsia="宋体" w:hAnsi="Segoe UI" w:cs="Segoe UI"/>
                <w:color w:val="333333"/>
                <w:kern w:val="0"/>
                <w:sz w:val="18"/>
                <w:szCs w:val="18"/>
              </w:rPr>
              <w:t xml:space="preserve">, CFA, Elaine Henry, CFA, and Michael A. </w:t>
            </w:r>
            <w:proofErr w:type="spellStart"/>
            <w:r w:rsidRPr="009E2EA0">
              <w:rPr>
                <w:rFonts w:ascii="Segoe UI" w:eastAsia="宋体" w:hAnsi="Segoe UI" w:cs="Segoe UI"/>
                <w:color w:val="333333"/>
                <w:kern w:val="0"/>
                <w:sz w:val="18"/>
                <w:szCs w:val="18"/>
              </w:rPr>
              <w:t>Broihahn</w:t>
            </w:r>
            <w:proofErr w:type="spellEnd"/>
            <w:r w:rsidRPr="009E2EA0">
              <w:rPr>
                <w:rFonts w:ascii="Segoe UI" w:eastAsia="宋体" w:hAnsi="Segoe UI" w:cs="Segoe UI"/>
                <w:color w:val="333333"/>
                <w:kern w:val="0"/>
                <w:sz w:val="18"/>
                <w:szCs w:val="18"/>
              </w:rPr>
              <w:t xml:space="preserve">, CFA </w:t>
            </w:r>
            <w:r w:rsidRPr="009E2EA0">
              <w:rPr>
                <w:rFonts w:ascii="Segoe UI" w:eastAsia="宋体" w:hAnsi="Segoe UI" w:cs="Segoe UI"/>
                <w:color w:val="333333"/>
                <w:kern w:val="0"/>
                <w:sz w:val="18"/>
                <w:szCs w:val="18"/>
              </w:rPr>
              <w:br/>
              <w:t>2011 Modular Level I, Vol. 3, pp. 254–263</w:t>
            </w:r>
            <w:r w:rsidRPr="009E2EA0">
              <w:rPr>
                <w:rFonts w:ascii="Segoe UI" w:eastAsia="宋体" w:hAnsi="Segoe UI" w:cs="Segoe UI"/>
                <w:color w:val="333333"/>
                <w:kern w:val="0"/>
                <w:sz w:val="18"/>
                <w:szCs w:val="18"/>
              </w:rPr>
              <w:br/>
              <w:t xml:space="preserve">"International Standards Convergence," Thomas R. Robinson, CFA, Jan </w:t>
            </w:r>
            <w:proofErr w:type="spellStart"/>
            <w:r w:rsidRPr="009E2EA0">
              <w:rPr>
                <w:rFonts w:ascii="Segoe UI" w:eastAsia="宋体" w:hAnsi="Segoe UI" w:cs="Segoe UI"/>
                <w:color w:val="333333"/>
                <w:kern w:val="0"/>
                <w:sz w:val="18"/>
                <w:szCs w:val="18"/>
              </w:rPr>
              <w:t>Hendrik</w:t>
            </w:r>
            <w:proofErr w:type="spellEnd"/>
            <w:r w:rsidRPr="009E2EA0">
              <w:rPr>
                <w:rFonts w:ascii="Segoe UI" w:eastAsia="宋体" w:hAnsi="Segoe UI" w:cs="Segoe UI"/>
                <w:color w:val="333333"/>
                <w:kern w:val="0"/>
                <w:sz w:val="18"/>
                <w:szCs w:val="18"/>
              </w:rPr>
              <w:t xml:space="preserve"> van </w:t>
            </w:r>
            <w:proofErr w:type="spellStart"/>
            <w:r w:rsidRPr="009E2EA0">
              <w:rPr>
                <w:rFonts w:ascii="Segoe UI" w:eastAsia="宋体" w:hAnsi="Segoe UI" w:cs="Segoe UI"/>
                <w:color w:val="333333"/>
                <w:kern w:val="0"/>
                <w:sz w:val="18"/>
                <w:szCs w:val="18"/>
              </w:rPr>
              <w:t>Greuning</w:t>
            </w:r>
            <w:proofErr w:type="spellEnd"/>
            <w:r w:rsidRPr="009E2EA0">
              <w:rPr>
                <w:rFonts w:ascii="Segoe UI" w:eastAsia="宋体" w:hAnsi="Segoe UI" w:cs="Segoe UI"/>
                <w:color w:val="333333"/>
                <w:kern w:val="0"/>
                <w:sz w:val="18"/>
                <w:szCs w:val="18"/>
              </w:rPr>
              <w:t xml:space="preserve">, CFA, Elaine Henry, CFA, and Michael A. </w:t>
            </w:r>
            <w:proofErr w:type="spellStart"/>
            <w:r w:rsidRPr="009E2EA0">
              <w:rPr>
                <w:rFonts w:ascii="Segoe UI" w:eastAsia="宋体" w:hAnsi="Segoe UI" w:cs="Segoe UI"/>
                <w:color w:val="333333"/>
                <w:kern w:val="0"/>
                <w:sz w:val="18"/>
                <w:szCs w:val="18"/>
              </w:rPr>
              <w:t>Broihahn</w:t>
            </w:r>
            <w:proofErr w:type="spellEnd"/>
            <w:r w:rsidRPr="009E2EA0">
              <w:rPr>
                <w:rFonts w:ascii="Segoe UI" w:eastAsia="宋体" w:hAnsi="Segoe UI" w:cs="Segoe UI"/>
                <w:color w:val="333333"/>
                <w:kern w:val="0"/>
                <w:sz w:val="18"/>
                <w:szCs w:val="18"/>
              </w:rPr>
              <w:t>, CFA</w:t>
            </w:r>
            <w:r w:rsidRPr="009E2EA0">
              <w:rPr>
                <w:rFonts w:ascii="Segoe UI" w:eastAsia="宋体" w:hAnsi="Segoe UI" w:cs="Segoe UI"/>
                <w:color w:val="333333"/>
                <w:kern w:val="0"/>
                <w:sz w:val="18"/>
                <w:szCs w:val="18"/>
              </w:rPr>
              <w:br/>
              <w:t>2011 Modular Level I, Vol. 3, pp. 650–651</w:t>
            </w:r>
            <w:r w:rsidRPr="009E2EA0">
              <w:rPr>
                <w:rFonts w:ascii="Segoe UI" w:eastAsia="宋体" w:hAnsi="Segoe UI" w:cs="Segoe UI"/>
                <w:color w:val="333333"/>
                <w:kern w:val="0"/>
                <w:sz w:val="18"/>
                <w:szCs w:val="18"/>
              </w:rPr>
              <w:br/>
              <w:t>Study Sessions 8–34–c, d; 8–43–c</w:t>
            </w:r>
            <w:r w:rsidRPr="009E2EA0">
              <w:rPr>
                <w:rFonts w:ascii="Segoe UI" w:eastAsia="宋体" w:hAnsi="Segoe UI" w:cs="Segoe UI"/>
                <w:color w:val="333333"/>
                <w:kern w:val="0"/>
                <w:sz w:val="18"/>
                <w:szCs w:val="18"/>
              </w:rPr>
              <w:br/>
              <w:t>Compare and contrast the key differences in cash flow statements prepared under international financial reporting standards and U.S. generally accepted accounting principles.</w:t>
            </w:r>
            <w:r w:rsidRPr="009E2EA0">
              <w:rPr>
                <w:rFonts w:ascii="Segoe UI" w:eastAsia="宋体" w:hAnsi="Segoe UI" w:cs="Segoe UI"/>
                <w:color w:val="333333"/>
                <w:kern w:val="0"/>
                <w:sz w:val="18"/>
                <w:szCs w:val="18"/>
              </w:rPr>
              <w:br/>
              <w:t>Demonstrate the difference between the direct and indirect methods of presenting cash from operating activities and explain the arguments in favor of each.</w:t>
            </w:r>
            <w:r w:rsidRPr="009E2EA0">
              <w:rPr>
                <w:rFonts w:ascii="Segoe UI" w:eastAsia="宋体" w:hAnsi="Segoe UI" w:cs="Segoe UI"/>
                <w:color w:val="333333"/>
                <w:kern w:val="0"/>
                <w:sz w:val="18"/>
                <w:szCs w:val="18"/>
              </w:rPr>
              <w:br/>
              <w:t>Identify and explain the major differences between international and U.S. GAAP accounting standards concerning the treatment of interest and dividends on the statement of cash flows.</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t xml:space="preserve">The direct method of cash flow statement presentation shows the specific cash inflows and outflows that result in reported cash flow from operating activities; e.g., cash from customers, cash to suppliers, etc. Companies using IFRS reporting standards can decide to report interest and dividend </w:t>
            </w:r>
            <w:r w:rsidRPr="009E2EA0">
              <w:rPr>
                <w:rFonts w:ascii="Segoe UI" w:eastAsia="宋体" w:hAnsi="Segoe UI" w:cs="Segoe UI"/>
                <w:color w:val="333333"/>
                <w:kern w:val="0"/>
                <w:sz w:val="18"/>
                <w:szCs w:val="18"/>
              </w:rPr>
              <w:lastRenderedPageBreak/>
              <w:t>receipts as either an investing or an operating activity, whereas under U.S. GAAP, they must report such income as an operating activity. The listed operating and investment activities indicate that the company reports under IFRS, using the direct method. </w:t>
            </w:r>
          </w:p>
        </w:tc>
      </w:tr>
    </w:tbl>
    <w:p w:rsidR="003B106F" w:rsidRDefault="003B106F">
      <w:pPr>
        <w:rPr>
          <w:rFonts w:hint="eastAsia"/>
        </w:rPr>
      </w:pPr>
    </w:p>
    <w:tbl>
      <w:tblPr>
        <w:tblW w:w="5000" w:type="pct"/>
        <w:tblCellSpacing w:w="15" w:type="dxa"/>
        <w:tblCellMar>
          <w:top w:w="30" w:type="dxa"/>
          <w:left w:w="30" w:type="dxa"/>
          <w:bottom w:w="30" w:type="dxa"/>
          <w:right w:w="30" w:type="dxa"/>
        </w:tblCellMar>
        <w:tblLook w:val="04A0"/>
      </w:tblPr>
      <w:tblGrid>
        <w:gridCol w:w="420"/>
        <w:gridCol w:w="774"/>
        <w:gridCol w:w="6959"/>
        <w:gridCol w:w="96"/>
        <w:gridCol w:w="96"/>
        <w:gridCol w:w="111"/>
      </w:tblGrid>
      <w:tr w:rsidR="009E2EA0" w:rsidRPr="009E2EA0" w:rsidTr="009E2EA0">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E2EA0" w:rsidRPr="009E2EA0" w:rsidRDefault="009E2EA0" w:rsidP="009E2EA0">
            <w:pPr>
              <w:widowControl/>
              <w:jc w:val="left"/>
              <w:rPr>
                <w:rFonts w:ascii="Segoe UI" w:eastAsia="宋体" w:hAnsi="Segoe UI" w:cs="Segoe UI"/>
                <w:b/>
                <w:bCs/>
                <w:color w:val="000000"/>
                <w:kern w:val="0"/>
                <w:sz w:val="18"/>
                <w:szCs w:val="18"/>
              </w:rPr>
            </w:pPr>
            <w:r w:rsidRPr="009E2EA0">
              <w:rPr>
                <w:rFonts w:ascii="Segoe UI" w:eastAsia="宋体" w:hAnsi="Segoe UI" w:cs="Segoe UI"/>
                <w:b/>
                <w:bCs/>
                <w:color w:val="000000"/>
                <w:kern w:val="0"/>
                <w:sz w:val="18"/>
                <w:szCs w:val="18"/>
              </w:rPr>
              <w:t>29</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E2EA0" w:rsidRPr="009E2EA0" w:rsidRDefault="009E2EA0" w:rsidP="009E2EA0">
            <w:pPr>
              <w:widowControl/>
              <w:spacing w:after="240"/>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The following information is available about a manufacturing company:</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90"/>
              <w:gridCol w:w="1795"/>
            </w:tblGrid>
            <w:tr w:rsidR="009E2EA0" w:rsidRPr="009E2EA0">
              <w:trPr>
                <w:tblCellSpacing w:w="15" w:type="dxa"/>
              </w:trPr>
              <w:tc>
                <w:tcPr>
                  <w:tcW w:w="445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1290"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b/>
                      <w:bCs/>
                      <w:color w:val="333333"/>
                      <w:kern w:val="0"/>
                      <w:sz w:val="18"/>
                      <w:szCs w:val="18"/>
                    </w:rPr>
                    <w:t>$ million</w:t>
                  </w:r>
                </w:p>
              </w:tc>
            </w:tr>
            <w:tr w:rsidR="009E2EA0" w:rsidRPr="009E2EA0">
              <w:trPr>
                <w:tblCellSpacing w:w="15" w:type="dxa"/>
              </w:trPr>
              <w:tc>
                <w:tcPr>
                  <w:tcW w:w="445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Cost of ending inventory computed using FIFO</w:t>
                  </w:r>
                </w:p>
              </w:tc>
              <w:tc>
                <w:tcPr>
                  <w:tcW w:w="1290"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4.3</w:t>
                  </w:r>
                </w:p>
              </w:tc>
            </w:tr>
            <w:tr w:rsidR="009E2EA0" w:rsidRPr="009E2EA0">
              <w:trPr>
                <w:tblCellSpacing w:w="15" w:type="dxa"/>
              </w:trPr>
              <w:tc>
                <w:tcPr>
                  <w:tcW w:w="445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Net realizable value</w:t>
                  </w:r>
                </w:p>
              </w:tc>
              <w:tc>
                <w:tcPr>
                  <w:tcW w:w="1290"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4.1</w:t>
                  </w:r>
                </w:p>
              </w:tc>
            </w:tr>
            <w:tr w:rsidR="009E2EA0" w:rsidRPr="009E2EA0">
              <w:trPr>
                <w:tblCellSpacing w:w="15" w:type="dxa"/>
              </w:trPr>
              <w:tc>
                <w:tcPr>
                  <w:tcW w:w="445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Current replacement cost</w:t>
                  </w:r>
                </w:p>
              </w:tc>
              <w:tc>
                <w:tcPr>
                  <w:tcW w:w="1290"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3.8</w:t>
                  </w:r>
                </w:p>
              </w:tc>
            </w:tr>
          </w:tbl>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br/>
              <w:t xml:space="preserve">Compared to U.S. GAAP, the company’s gross profit ($ millions) computed under International Financial Reporting Standards (IFRS) is </w:t>
            </w:r>
            <w:r w:rsidRPr="009E2EA0">
              <w:rPr>
                <w:rFonts w:ascii="Segoe UI" w:eastAsia="宋体" w:hAnsi="Segoe UI" w:cs="Segoe UI"/>
                <w:i/>
                <w:iCs/>
                <w:color w:val="333333"/>
                <w:kern w:val="0"/>
                <w:sz w:val="18"/>
                <w:szCs w:val="18"/>
              </w:rPr>
              <w:t>most likely</w:t>
            </w:r>
            <w:r w:rsidRPr="009E2EA0">
              <w:rPr>
                <w:rFonts w:ascii="Segoe UI" w:eastAsia="宋体" w:hAnsi="Segoe UI" w:cs="Segoe UI"/>
                <w:color w:val="333333"/>
                <w:kern w:val="0"/>
                <w:sz w:val="18"/>
                <w:szCs w:val="18"/>
              </w:rPr>
              <w:t>:</w:t>
            </w:r>
          </w:p>
        </w:tc>
      </w:tr>
      <w:tr w:rsidR="009E2EA0" w:rsidRPr="009E2EA0" w:rsidTr="009E2EA0">
        <w:trPr>
          <w:trHeight w:val="525"/>
          <w:tblCellSpacing w:w="15" w:type="dxa"/>
        </w:trPr>
        <w:tc>
          <w:tcPr>
            <w:tcW w:w="375" w:type="dxa"/>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E2EA0" w:rsidRPr="009E2EA0" w:rsidRDefault="009E2EA0" w:rsidP="009E2EA0">
            <w:pPr>
              <w:widowControl/>
              <w:jc w:val="center"/>
              <w:rPr>
                <w:rFonts w:ascii="Segoe UI" w:eastAsia="宋体" w:hAnsi="Segoe UI" w:cs="Segoe UI"/>
                <w:color w:val="000000"/>
                <w:kern w:val="0"/>
                <w:sz w:val="18"/>
                <w:szCs w:val="18"/>
              </w:rPr>
            </w:pPr>
            <w:r w:rsidRPr="009E2EA0">
              <w:rPr>
                <w:rFonts w:ascii="Segoe UI" w:eastAsia="宋体" w:hAnsi="Segoe UI" w:cs="Segoe UI"/>
                <w:color w:val="000000"/>
                <w:kern w:val="0"/>
                <w:sz w:val="18"/>
                <w:szCs w:val="18"/>
              </w:rPr>
              <w:object w:dxaOrig="1440" w:dyaOrig="1440">
                <v:shape id="_x0000_i1306" type="#_x0000_t75" style="width:20.25pt;height:15.75pt" o:ole="">
                  <v:imagedata r:id="rId7" o:title=""/>
                </v:shape>
                <w:control r:id="rId93" w:name="DefaultOcxName48" w:shapeid="_x0000_i130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E2EA0" w:rsidRPr="009E2EA0" w:rsidRDefault="009E2EA0" w:rsidP="009E2EA0">
            <w:pPr>
              <w:widowControl/>
              <w:jc w:val="left"/>
              <w:rPr>
                <w:rFonts w:ascii="Segoe UI" w:eastAsia="宋体" w:hAnsi="Segoe UI" w:cs="Segoe UI"/>
                <w:color w:val="000000"/>
                <w:kern w:val="0"/>
                <w:sz w:val="18"/>
                <w:szCs w:val="18"/>
              </w:rPr>
            </w:pPr>
            <w:r w:rsidRPr="009E2EA0">
              <w:rPr>
                <w:rFonts w:ascii="Segoe UI" w:eastAsia="宋体" w:hAnsi="Segoe UI" w:cs="Segoe UI"/>
                <w:b/>
                <w:bCs/>
                <w:color w:val="000000"/>
                <w:kern w:val="0"/>
                <w:sz w:val="18"/>
                <w:szCs w:val="18"/>
              </w:rPr>
              <w:t>A.</w:t>
            </w:r>
            <w:r w:rsidRPr="009E2EA0">
              <w:rPr>
                <w:rFonts w:ascii="Segoe UI" w:eastAsia="宋体" w:hAnsi="Segoe UI" w:cs="Segoe UI"/>
                <w:color w:val="000000"/>
                <w:kern w:val="0"/>
                <w:sz w:val="18"/>
                <w:szCs w:val="18"/>
              </w:rPr>
              <w:t xml:space="preserve"> the same.</w:t>
            </w: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r>
      <w:tr w:rsidR="009E2EA0" w:rsidRPr="009E2EA0" w:rsidTr="009E2EA0">
        <w:trPr>
          <w:trHeight w:val="525"/>
          <w:tblCellSpacing w:w="15" w:type="dxa"/>
        </w:trPr>
        <w:tc>
          <w:tcPr>
            <w:tcW w:w="375" w:type="dxa"/>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E2EA0" w:rsidRPr="009E2EA0" w:rsidRDefault="009E2EA0" w:rsidP="009E2EA0">
            <w:pPr>
              <w:widowControl/>
              <w:jc w:val="center"/>
              <w:rPr>
                <w:rFonts w:ascii="Segoe UI" w:eastAsia="宋体" w:hAnsi="Segoe UI" w:cs="Segoe UI"/>
                <w:color w:val="000000"/>
                <w:kern w:val="0"/>
                <w:sz w:val="18"/>
                <w:szCs w:val="18"/>
              </w:rPr>
            </w:pPr>
            <w:r w:rsidRPr="009E2EA0">
              <w:rPr>
                <w:rFonts w:ascii="Segoe UI" w:eastAsia="宋体" w:hAnsi="Segoe UI" w:cs="Segoe UI"/>
                <w:color w:val="000000"/>
                <w:kern w:val="0"/>
                <w:sz w:val="18"/>
                <w:szCs w:val="18"/>
              </w:rPr>
              <w:object w:dxaOrig="1440" w:dyaOrig="1440">
                <v:shape id="_x0000_i1305" type="#_x0000_t75" style="width:20.25pt;height:15.75pt" o:ole="">
                  <v:imagedata r:id="rId9" o:title=""/>
                </v:shape>
                <w:control r:id="rId94" w:name="DefaultOcxName128" w:shapeid="_x0000_i130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E2EA0" w:rsidRPr="009E2EA0" w:rsidRDefault="009E2EA0" w:rsidP="009E2EA0">
            <w:pPr>
              <w:widowControl/>
              <w:jc w:val="left"/>
              <w:rPr>
                <w:rFonts w:ascii="Segoe UI" w:eastAsia="宋体" w:hAnsi="Segoe UI" w:cs="Segoe UI"/>
                <w:color w:val="000000"/>
                <w:kern w:val="0"/>
                <w:sz w:val="18"/>
                <w:szCs w:val="18"/>
              </w:rPr>
            </w:pPr>
            <w:r w:rsidRPr="009E2EA0">
              <w:rPr>
                <w:rFonts w:ascii="Segoe UI" w:eastAsia="宋体" w:hAnsi="Segoe UI" w:cs="Segoe UI"/>
                <w:b/>
                <w:bCs/>
                <w:color w:val="000000"/>
                <w:kern w:val="0"/>
                <w:sz w:val="18"/>
                <w:szCs w:val="18"/>
              </w:rPr>
              <w:t>B.</w:t>
            </w:r>
            <w:r w:rsidRPr="009E2EA0">
              <w:rPr>
                <w:rFonts w:ascii="Segoe UI" w:eastAsia="宋体" w:hAnsi="Segoe UI" w:cs="Segoe UI"/>
                <w:color w:val="000000"/>
                <w:kern w:val="0"/>
                <w:sz w:val="18"/>
                <w:szCs w:val="18"/>
              </w:rPr>
              <w:t xml:space="preserve"> 0.3 lower.</w:t>
            </w: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r>
      <w:tr w:rsidR="009E2EA0" w:rsidRPr="009E2EA0" w:rsidTr="009E2EA0">
        <w:trPr>
          <w:trHeight w:val="525"/>
          <w:tblCellSpacing w:w="15" w:type="dxa"/>
        </w:trPr>
        <w:tc>
          <w:tcPr>
            <w:tcW w:w="375" w:type="dxa"/>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E2EA0" w:rsidRPr="009E2EA0" w:rsidRDefault="009E2EA0" w:rsidP="009E2EA0">
            <w:pPr>
              <w:widowControl/>
              <w:jc w:val="center"/>
              <w:rPr>
                <w:rFonts w:ascii="Segoe UI" w:eastAsia="宋体" w:hAnsi="Segoe UI" w:cs="Segoe UI"/>
                <w:color w:val="000000"/>
                <w:kern w:val="0"/>
                <w:sz w:val="18"/>
                <w:szCs w:val="18"/>
              </w:rPr>
            </w:pPr>
            <w:r w:rsidRPr="009E2EA0">
              <w:rPr>
                <w:rFonts w:ascii="Segoe UI" w:eastAsia="宋体" w:hAnsi="Segoe UI" w:cs="Segoe UI"/>
                <w:color w:val="000000"/>
                <w:kern w:val="0"/>
                <w:sz w:val="18"/>
                <w:szCs w:val="18"/>
              </w:rPr>
              <w:object w:dxaOrig="1440" w:dyaOrig="1440">
                <v:shape id="_x0000_i1304" type="#_x0000_t75" style="width:20.25pt;height:15.75pt" o:ole="">
                  <v:imagedata r:id="rId9" o:title=""/>
                </v:shape>
                <w:control r:id="rId95" w:name="DefaultOcxName228" w:shapeid="_x0000_i130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E2EA0" w:rsidRPr="009E2EA0" w:rsidRDefault="009E2EA0" w:rsidP="009E2EA0">
            <w:pPr>
              <w:widowControl/>
              <w:jc w:val="left"/>
              <w:rPr>
                <w:rFonts w:ascii="Segoe UI" w:eastAsia="宋体" w:hAnsi="Segoe UI" w:cs="Segoe UI"/>
                <w:color w:val="000000"/>
                <w:kern w:val="0"/>
                <w:sz w:val="18"/>
                <w:szCs w:val="18"/>
              </w:rPr>
            </w:pPr>
            <w:r w:rsidRPr="009E2EA0">
              <w:rPr>
                <w:rFonts w:ascii="Segoe UI" w:eastAsia="宋体" w:hAnsi="Segoe UI" w:cs="Segoe UI"/>
                <w:b/>
                <w:bCs/>
                <w:color w:val="000000"/>
                <w:kern w:val="0"/>
                <w:sz w:val="18"/>
                <w:szCs w:val="18"/>
              </w:rPr>
              <w:t>C.</w:t>
            </w:r>
            <w:r w:rsidRPr="009E2EA0">
              <w:rPr>
                <w:rFonts w:ascii="Segoe UI" w:eastAsia="宋体" w:hAnsi="Segoe UI" w:cs="Segoe UI"/>
                <w:color w:val="000000"/>
                <w:kern w:val="0"/>
                <w:sz w:val="18"/>
                <w:szCs w:val="18"/>
              </w:rPr>
              <w:t xml:space="preserve"> 0.3 higher.</w:t>
            </w: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r>
      <w:tr w:rsidR="009E2EA0" w:rsidRPr="009E2EA0" w:rsidTr="009E2EA0">
        <w:trPr>
          <w:trHeight w:val="525"/>
          <w:tblCellSpacing w:w="15" w:type="dxa"/>
        </w:trPr>
        <w:tc>
          <w:tcPr>
            <w:tcW w:w="375" w:type="dxa"/>
            <w:noWrap/>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0" w:type="auto"/>
            <w:gridSpan w:val="5"/>
            <w:shd w:val="clear" w:color="auto" w:fill="FF6347"/>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b/>
                <w:bCs/>
                <w:color w:val="000080"/>
                <w:kern w:val="0"/>
                <w:sz w:val="16"/>
                <w:szCs w:val="16"/>
              </w:rPr>
              <w:t>Feedback:</w:t>
            </w:r>
            <w:r w:rsidRPr="009E2EA0">
              <w:rPr>
                <w:rFonts w:ascii="Segoe UI" w:eastAsia="宋体" w:hAnsi="Segoe UI" w:cs="Segoe UI"/>
                <w:color w:val="333333"/>
                <w:kern w:val="0"/>
                <w:sz w:val="18"/>
                <w:szCs w:val="18"/>
              </w:rPr>
              <w:t xml:space="preserve"> You have answered incorrectly.</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t xml:space="preserve">Correct answer: </w:t>
            </w:r>
            <w:r w:rsidRPr="009E2EA0">
              <w:rPr>
                <w:rFonts w:ascii="Segoe UI" w:eastAsia="宋体" w:hAnsi="Segoe UI" w:cs="Segoe UI"/>
                <w:b/>
                <w:bCs/>
                <w:color w:val="333333"/>
                <w:kern w:val="0"/>
                <w:sz w:val="18"/>
                <w:szCs w:val="18"/>
              </w:rPr>
              <w:t>C</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t xml:space="preserve">"Inventories," Michael A. </w:t>
            </w:r>
            <w:proofErr w:type="spellStart"/>
            <w:r w:rsidRPr="009E2EA0">
              <w:rPr>
                <w:rFonts w:ascii="Segoe UI" w:eastAsia="宋体" w:hAnsi="Segoe UI" w:cs="Segoe UI"/>
                <w:color w:val="333333"/>
                <w:kern w:val="0"/>
                <w:sz w:val="18"/>
                <w:szCs w:val="18"/>
              </w:rPr>
              <w:t>Broihahn</w:t>
            </w:r>
            <w:proofErr w:type="spellEnd"/>
            <w:r w:rsidRPr="009E2EA0">
              <w:rPr>
                <w:rFonts w:ascii="Segoe UI" w:eastAsia="宋体" w:hAnsi="Segoe UI" w:cs="Segoe UI"/>
                <w:color w:val="333333"/>
                <w:kern w:val="0"/>
                <w:sz w:val="18"/>
                <w:szCs w:val="18"/>
              </w:rPr>
              <w:t>, CFA</w:t>
            </w:r>
            <w:r w:rsidRPr="009E2EA0">
              <w:rPr>
                <w:rFonts w:ascii="Segoe UI" w:eastAsia="宋体" w:hAnsi="Segoe UI" w:cs="Segoe UI"/>
                <w:color w:val="333333"/>
                <w:kern w:val="0"/>
                <w:sz w:val="18"/>
                <w:szCs w:val="18"/>
              </w:rPr>
              <w:br/>
              <w:t>2011 Modular Level I, Vol. 3, pp. 386–388</w:t>
            </w:r>
            <w:r w:rsidRPr="009E2EA0">
              <w:rPr>
                <w:rFonts w:ascii="Segoe UI" w:eastAsia="宋体" w:hAnsi="Segoe UI" w:cs="Segoe UI"/>
                <w:color w:val="333333"/>
                <w:kern w:val="0"/>
                <w:sz w:val="18"/>
                <w:szCs w:val="18"/>
              </w:rPr>
              <w:br/>
              <w:t xml:space="preserve">"International Standards Convergence," Thomas R. Robinson, CFA, Jan </w:t>
            </w:r>
            <w:proofErr w:type="spellStart"/>
            <w:r w:rsidRPr="009E2EA0">
              <w:rPr>
                <w:rFonts w:ascii="Segoe UI" w:eastAsia="宋体" w:hAnsi="Segoe UI" w:cs="Segoe UI"/>
                <w:color w:val="333333"/>
                <w:kern w:val="0"/>
                <w:sz w:val="18"/>
                <w:szCs w:val="18"/>
              </w:rPr>
              <w:t>Hendrik</w:t>
            </w:r>
            <w:proofErr w:type="spellEnd"/>
            <w:r w:rsidRPr="009E2EA0">
              <w:rPr>
                <w:rFonts w:ascii="Segoe UI" w:eastAsia="宋体" w:hAnsi="Segoe UI" w:cs="Segoe UI"/>
                <w:color w:val="333333"/>
                <w:kern w:val="0"/>
                <w:sz w:val="18"/>
                <w:szCs w:val="18"/>
              </w:rPr>
              <w:t xml:space="preserve"> van </w:t>
            </w:r>
            <w:proofErr w:type="spellStart"/>
            <w:r w:rsidRPr="009E2EA0">
              <w:rPr>
                <w:rFonts w:ascii="Segoe UI" w:eastAsia="宋体" w:hAnsi="Segoe UI" w:cs="Segoe UI"/>
                <w:color w:val="333333"/>
                <w:kern w:val="0"/>
                <w:sz w:val="18"/>
                <w:szCs w:val="18"/>
              </w:rPr>
              <w:t>Greuning</w:t>
            </w:r>
            <w:proofErr w:type="spellEnd"/>
            <w:r w:rsidRPr="009E2EA0">
              <w:rPr>
                <w:rFonts w:ascii="Segoe UI" w:eastAsia="宋体" w:hAnsi="Segoe UI" w:cs="Segoe UI"/>
                <w:color w:val="333333"/>
                <w:kern w:val="0"/>
                <w:sz w:val="18"/>
                <w:szCs w:val="18"/>
              </w:rPr>
              <w:t xml:space="preserve">, CFA, Elaine Henry, CFA, and Michael A. </w:t>
            </w:r>
            <w:proofErr w:type="spellStart"/>
            <w:r w:rsidRPr="009E2EA0">
              <w:rPr>
                <w:rFonts w:ascii="Segoe UI" w:eastAsia="宋体" w:hAnsi="Segoe UI" w:cs="Segoe UI"/>
                <w:color w:val="333333"/>
                <w:kern w:val="0"/>
                <w:sz w:val="18"/>
                <w:szCs w:val="18"/>
              </w:rPr>
              <w:t>Broihahn</w:t>
            </w:r>
            <w:proofErr w:type="spellEnd"/>
            <w:r w:rsidRPr="009E2EA0">
              <w:rPr>
                <w:rFonts w:ascii="Segoe UI" w:eastAsia="宋体" w:hAnsi="Segoe UI" w:cs="Segoe UI"/>
                <w:color w:val="333333"/>
                <w:kern w:val="0"/>
                <w:sz w:val="18"/>
                <w:szCs w:val="18"/>
              </w:rPr>
              <w:t>, CFA</w:t>
            </w:r>
            <w:r w:rsidRPr="009E2EA0">
              <w:rPr>
                <w:rFonts w:ascii="Segoe UI" w:eastAsia="宋体" w:hAnsi="Segoe UI" w:cs="Segoe UI"/>
                <w:color w:val="333333"/>
                <w:kern w:val="0"/>
                <w:sz w:val="18"/>
                <w:szCs w:val="18"/>
              </w:rPr>
              <w:br/>
              <w:t>2011 Modular Level I, Vol. 3, pp. 639–640, 648</w:t>
            </w:r>
            <w:r w:rsidRPr="009E2EA0">
              <w:rPr>
                <w:rFonts w:ascii="Segoe UI" w:eastAsia="宋体" w:hAnsi="Segoe UI" w:cs="Segoe UI"/>
                <w:color w:val="333333"/>
                <w:kern w:val="0"/>
                <w:sz w:val="18"/>
                <w:szCs w:val="18"/>
              </w:rPr>
              <w:br/>
              <w:t>Study Sessions 9–36–f, 10–43–a</w:t>
            </w:r>
            <w:r w:rsidRPr="009E2EA0">
              <w:rPr>
                <w:rFonts w:ascii="Segoe UI" w:eastAsia="宋体" w:hAnsi="Segoe UI" w:cs="Segoe UI"/>
                <w:color w:val="333333"/>
                <w:kern w:val="0"/>
                <w:sz w:val="18"/>
                <w:szCs w:val="18"/>
              </w:rPr>
              <w:br/>
              <w:t>Discuss the measurement of inventory at the lower of cost and net realizable value.</w:t>
            </w:r>
            <w:r w:rsidRPr="009E2EA0">
              <w:rPr>
                <w:rFonts w:ascii="Segoe UI" w:eastAsia="宋体" w:hAnsi="Segoe UI" w:cs="Segoe UI"/>
                <w:color w:val="333333"/>
                <w:kern w:val="0"/>
                <w:sz w:val="18"/>
                <w:szCs w:val="18"/>
              </w:rPr>
              <w:br/>
              <w:t>Identify and explain the major international accounting standards for each asset and liability category on the balance sheet and the key differences from U.S. generally accepted accounting principles (GAAP).</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t>Under IFRS, the inventory would be written down to its net realizable value ($4.1 million) whereas, under U.S. GAAP, market is defined as current replacement cost and hence would be written down to its current replacement cost ($3.8). The smaller write-down under IFRS will reduce the amount charged to the cost of goods sold, as compared to U.S. GAAP, and result in a higher gross profit of $0.3 million. </w:t>
            </w:r>
          </w:p>
        </w:tc>
      </w:tr>
    </w:tbl>
    <w:p w:rsidR="009E2EA0" w:rsidRDefault="009E2EA0">
      <w:pPr>
        <w:rPr>
          <w:rFonts w:hint="eastAsia"/>
        </w:rPr>
      </w:pPr>
    </w:p>
    <w:tbl>
      <w:tblPr>
        <w:tblW w:w="5000" w:type="pct"/>
        <w:tblCellSpacing w:w="15" w:type="dxa"/>
        <w:tblCellMar>
          <w:top w:w="30" w:type="dxa"/>
          <w:left w:w="30" w:type="dxa"/>
          <w:bottom w:w="30" w:type="dxa"/>
          <w:right w:w="30" w:type="dxa"/>
        </w:tblCellMar>
        <w:tblLook w:val="04A0"/>
      </w:tblPr>
      <w:tblGrid>
        <w:gridCol w:w="420"/>
        <w:gridCol w:w="704"/>
        <w:gridCol w:w="7029"/>
        <w:gridCol w:w="96"/>
        <w:gridCol w:w="96"/>
        <w:gridCol w:w="111"/>
      </w:tblGrid>
      <w:tr w:rsidR="009E2EA0" w:rsidRPr="009E2EA0" w:rsidTr="009E2EA0">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E2EA0" w:rsidRPr="009E2EA0" w:rsidRDefault="009E2EA0" w:rsidP="009E2EA0">
            <w:pPr>
              <w:widowControl/>
              <w:jc w:val="left"/>
              <w:rPr>
                <w:rFonts w:ascii="Segoe UI" w:eastAsia="宋体" w:hAnsi="Segoe UI" w:cs="Segoe UI"/>
                <w:b/>
                <w:bCs/>
                <w:color w:val="000000"/>
                <w:kern w:val="0"/>
                <w:sz w:val="18"/>
                <w:szCs w:val="18"/>
              </w:rPr>
            </w:pPr>
            <w:r w:rsidRPr="009E2EA0">
              <w:rPr>
                <w:rFonts w:ascii="Segoe UI" w:eastAsia="宋体" w:hAnsi="Segoe UI" w:cs="Segoe UI"/>
                <w:b/>
                <w:bCs/>
                <w:color w:val="000000"/>
                <w:kern w:val="0"/>
                <w:sz w:val="18"/>
                <w:szCs w:val="18"/>
              </w:rPr>
              <w:lastRenderedPageBreak/>
              <w:t>30</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xml:space="preserve">For which type of long-lived asset is it </w:t>
            </w:r>
            <w:r w:rsidRPr="009E2EA0">
              <w:rPr>
                <w:rFonts w:ascii="Segoe UI" w:eastAsia="宋体" w:hAnsi="Segoe UI" w:cs="Segoe UI"/>
                <w:i/>
                <w:iCs/>
                <w:color w:val="333333"/>
                <w:kern w:val="0"/>
                <w:sz w:val="18"/>
                <w:szCs w:val="18"/>
              </w:rPr>
              <w:t>most appropriate</w:t>
            </w:r>
            <w:r w:rsidRPr="009E2EA0">
              <w:rPr>
                <w:rFonts w:ascii="Segoe UI" w:eastAsia="宋体" w:hAnsi="Segoe UI" w:cs="Segoe UI"/>
                <w:color w:val="333333"/>
                <w:kern w:val="0"/>
                <w:sz w:val="18"/>
                <w:szCs w:val="18"/>
              </w:rPr>
              <w:t xml:space="preserve"> to test for impairment at least annually?</w:t>
            </w:r>
          </w:p>
        </w:tc>
      </w:tr>
      <w:tr w:rsidR="009E2EA0" w:rsidRPr="009E2EA0" w:rsidTr="009E2EA0">
        <w:trPr>
          <w:trHeight w:val="525"/>
          <w:tblCellSpacing w:w="15" w:type="dxa"/>
        </w:trPr>
        <w:tc>
          <w:tcPr>
            <w:tcW w:w="375" w:type="dxa"/>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E2EA0" w:rsidRPr="009E2EA0" w:rsidRDefault="009E2EA0" w:rsidP="009E2EA0">
            <w:pPr>
              <w:widowControl/>
              <w:jc w:val="center"/>
              <w:rPr>
                <w:rFonts w:ascii="Segoe UI" w:eastAsia="宋体" w:hAnsi="Segoe UI" w:cs="Segoe UI"/>
                <w:color w:val="000000"/>
                <w:kern w:val="0"/>
                <w:sz w:val="18"/>
                <w:szCs w:val="18"/>
              </w:rPr>
            </w:pPr>
            <w:r w:rsidRPr="009E2EA0">
              <w:rPr>
                <w:rFonts w:ascii="Segoe UI" w:eastAsia="宋体" w:hAnsi="Segoe UI" w:cs="Segoe UI"/>
                <w:color w:val="000000"/>
                <w:kern w:val="0"/>
                <w:sz w:val="18"/>
                <w:szCs w:val="18"/>
              </w:rPr>
              <w:object w:dxaOrig="1440" w:dyaOrig="1440">
                <v:shape id="_x0000_i1315" type="#_x0000_t75" style="width:20.25pt;height:15.75pt" o:ole="">
                  <v:imagedata r:id="rId7" o:title=""/>
                </v:shape>
                <w:control r:id="rId96" w:name="DefaultOcxName49" w:shapeid="_x0000_i131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E2EA0" w:rsidRPr="009E2EA0" w:rsidRDefault="009E2EA0" w:rsidP="009E2EA0">
            <w:pPr>
              <w:widowControl/>
              <w:jc w:val="left"/>
              <w:rPr>
                <w:rFonts w:ascii="Segoe UI" w:eastAsia="宋体" w:hAnsi="Segoe UI" w:cs="Segoe UI"/>
                <w:color w:val="000000"/>
                <w:kern w:val="0"/>
                <w:sz w:val="18"/>
                <w:szCs w:val="18"/>
              </w:rPr>
            </w:pPr>
            <w:r w:rsidRPr="009E2EA0">
              <w:rPr>
                <w:rFonts w:ascii="Segoe UI" w:eastAsia="宋体" w:hAnsi="Segoe UI" w:cs="Segoe UI"/>
                <w:b/>
                <w:bCs/>
                <w:color w:val="000000"/>
                <w:kern w:val="0"/>
                <w:sz w:val="18"/>
                <w:szCs w:val="18"/>
              </w:rPr>
              <w:t>A.</w:t>
            </w:r>
            <w:r w:rsidRPr="009E2EA0">
              <w:rPr>
                <w:rFonts w:ascii="Segoe UI" w:eastAsia="宋体" w:hAnsi="Segoe UI" w:cs="Segoe UI"/>
                <w:color w:val="000000"/>
                <w:kern w:val="0"/>
                <w:sz w:val="18"/>
                <w:szCs w:val="18"/>
              </w:rPr>
              <w:t xml:space="preserve"> Property, plant, and equipment</w:t>
            </w: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r>
      <w:tr w:rsidR="009E2EA0" w:rsidRPr="009E2EA0" w:rsidTr="009E2EA0">
        <w:trPr>
          <w:trHeight w:val="525"/>
          <w:tblCellSpacing w:w="15" w:type="dxa"/>
        </w:trPr>
        <w:tc>
          <w:tcPr>
            <w:tcW w:w="375" w:type="dxa"/>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E2EA0" w:rsidRPr="009E2EA0" w:rsidRDefault="009E2EA0" w:rsidP="009E2EA0">
            <w:pPr>
              <w:widowControl/>
              <w:jc w:val="center"/>
              <w:rPr>
                <w:rFonts w:ascii="Segoe UI" w:eastAsia="宋体" w:hAnsi="Segoe UI" w:cs="Segoe UI"/>
                <w:color w:val="000000"/>
                <w:kern w:val="0"/>
                <w:sz w:val="18"/>
                <w:szCs w:val="18"/>
              </w:rPr>
            </w:pPr>
            <w:r w:rsidRPr="009E2EA0">
              <w:rPr>
                <w:rFonts w:ascii="Segoe UI" w:eastAsia="宋体" w:hAnsi="Segoe UI" w:cs="Segoe UI"/>
                <w:color w:val="000000"/>
                <w:kern w:val="0"/>
                <w:sz w:val="18"/>
                <w:szCs w:val="18"/>
              </w:rPr>
              <w:object w:dxaOrig="1440" w:dyaOrig="1440">
                <v:shape id="_x0000_i1314" type="#_x0000_t75" style="width:20.25pt;height:15.75pt" o:ole="">
                  <v:imagedata r:id="rId9" o:title=""/>
                </v:shape>
                <w:control r:id="rId97" w:name="DefaultOcxName129" w:shapeid="_x0000_i131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E2EA0" w:rsidRPr="009E2EA0" w:rsidRDefault="009E2EA0" w:rsidP="009E2EA0">
            <w:pPr>
              <w:widowControl/>
              <w:jc w:val="left"/>
              <w:rPr>
                <w:rFonts w:ascii="Segoe UI" w:eastAsia="宋体" w:hAnsi="Segoe UI" w:cs="Segoe UI"/>
                <w:color w:val="000000"/>
                <w:kern w:val="0"/>
                <w:sz w:val="18"/>
                <w:szCs w:val="18"/>
              </w:rPr>
            </w:pPr>
            <w:r w:rsidRPr="009E2EA0">
              <w:rPr>
                <w:rFonts w:ascii="Segoe UI" w:eastAsia="宋体" w:hAnsi="Segoe UI" w:cs="Segoe UI"/>
                <w:b/>
                <w:bCs/>
                <w:color w:val="000000"/>
                <w:kern w:val="0"/>
                <w:sz w:val="18"/>
                <w:szCs w:val="18"/>
              </w:rPr>
              <w:t>B.</w:t>
            </w:r>
            <w:r w:rsidRPr="009E2EA0">
              <w:rPr>
                <w:rFonts w:ascii="Segoe UI" w:eastAsia="宋体" w:hAnsi="Segoe UI" w:cs="Segoe UI"/>
                <w:color w:val="000000"/>
                <w:kern w:val="0"/>
                <w:sz w:val="18"/>
                <w:szCs w:val="18"/>
              </w:rPr>
              <w:t xml:space="preserve"> Intangible assets with a finite life</w:t>
            </w: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r>
      <w:tr w:rsidR="009E2EA0" w:rsidRPr="009E2EA0" w:rsidTr="009E2EA0">
        <w:trPr>
          <w:trHeight w:val="525"/>
          <w:tblCellSpacing w:w="15" w:type="dxa"/>
        </w:trPr>
        <w:tc>
          <w:tcPr>
            <w:tcW w:w="375" w:type="dxa"/>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E2EA0" w:rsidRPr="009E2EA0" w:rsidRDefault="009E2EA0" w:rsidP="009E2EA0">
            <w:pPr>
              <w:widowControl/>
              <w:jc w:val="center"/>
              <w:rPr>
                <w:rFonts w:ascii="Segoe UI" w:eastAsia="宋体" w:hAnsi="Segoe UI" w:cs="Segoe UI"/>
                <w:color w:val="000000"/>
                <w:kern w:val="0"/>
                <w:sz w:val="18"/>
                <w:szCs w:val="18"/>
              </w:rPr>
            </w:pPr>
            <w:r w:rsidRPr="009E2EA0">
              <w:rPr>
                <w:rFonts w:ascii="Segoe UI" w:eastAsia="宋体" w:hAnsi="Segoe UI" w:cs="Segoe UI"/>
                <w:color w:val="000000"/>
                <w:kern w:val="0"/>
                <w:sz w:val="18"/>
                <w:szCs w:val="18"/>
              </w:rPr>
              <w:object w:dxaOrig="1440" w:dyaOrig="1440">
                <v:shape id="_x0000_i1313" type="#_x0000_t75" style="width:20.25pt;height:15.75pt" o:ole="">
                  <v:imagedata r:id="rId9" o:title=""/>
                </v:shape>
                <w:control r:id="rId98" w:name="DefaultOcxName229" w:shapeid="_x0000_i131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E2EA0" w:rsidRPr="009E2EA0" w:rsidRDefault="009E2EA0" w:rsidP="009E2EA0">
            <w:pPr>
              <w:widowControl/>
              <w:jc w:val="left"/>
              <w:rPr>
                <w:rFonts w:ascii="Segoe UI" w:eastAsia="宋体" w:hAnsi="Segoe UI" w:cs="Segoe UI"/>
                <w:color w:val="000000"/>
                <w:kern w:val="0"/>
                <w:sz w:val="18"/>
                <w:szCs w:val="18"/>
              </w:rPr>
            </w:pPr>
            <w:r w:rsidRPr="009E2EA0">
              <w:rPr>
                <w:rFonts w:ascii="Segoe UI" w:eastAsia="宋体" w:hAnsi="Segoe UI" w:cs="Segoe UI"/>
                <w:b/>
                <w:bCs/>
                <w:color w:val="000000"/>
                <w:kern w:val="0"/>
                <w:sz w:val="18"/>
                <w:szCs w:val="18"/>
              </w:rPr>
              <w:t>C.</w:t>
            </w:r>
            <w:r w:rsidRPr="009E2EA0">
              <w:rPr>
                <w:rFonts w:ascii="Segoe UI" w:eastAsia="宋体" w:hAnsi="Segoe UI" w:cs="Segoe UI"/>
                <w:color w:val="000000"/>
                <w:kern w:val="0"/>
                <w:sz w:val="18"/>
                <w:szCs w:val="18"/>
              </w:rPr>
              <w:t xml:space="preserve"> Intangible assets with indefinite lives</w:t>
            </w: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r>
      <w:tr w:rsidR="009E2EA0" w:rsidRPr="009E2EA0" w:rsidTr="009E2EA0">
        <w:trPr>
          <w:trHeight w:val="525"/>
          <w:tblCellSpacing w:w="15" w:type="dxa"/>
        </w:trPr>
        <w:tc>
          <w:tcPr>
            <w:tcW w:w="375" w:type="dxa"/>
            <w:noWrap/>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0" w:type="auto"/>
            <w:gridSpan w:val="5"/>
            <w:shd w:val="clear" w:color="auto" w:fill="FF6347"/>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b/>
                <w:bCs/>
                <w:color w:val="000080"/>
                <w:kern w:val="0"/>
                <w:sz w:val="16"/>
                <w:szCs w:val="16"/>
              </w:rPr>
              <w:t>Feedback:</w:t>
            </w:r>
            <w:r w:rsidRPr="009E2EA0">
              <w:rPr>
                <w:rFonts w:ascii="Segoe UI" w:eastAsia="宋体" w:hAnsi="Segoe UI" w:cs="Segoe UI"/>
                <w:color w:val="333333"/>
                <w:kern w:val="0"/>
                <w:sz w:val="18"/>
                <w:szCs w:val="18"/>
              </w:rPr>
              <w:t xml:space="preserve"> You have answered incorrectly.</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t xml:space="preserve">Correct answer: </w:t>
            </w:r>
            <w:r w:rsidRPr="009E2EA0">
              <w:rPr>
                <w:rFonts w:ascii="Segoe UI" w:eastAsia="宋体" w:hAnsi="Segoe UI" w:cs="Segoe UI"/>
                <w:b/>
                <w:bCs/>
                <w:color w:val="333333"/>
                <w:kern w:val="0"/>
                <w:sz w:val="18"/>
                <w:szCs w:val="18"/>
              </w:rPr>
              <w:t>C</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t xml:space="preserve">"Long-Lived Assets," Elaine Henry, CFA, and Elizabeth A. Gordon </w:t>
            </w:r>
            <w:r w:rsidRPr="009E2EA0">
              <w:rPr>
                <w:rFonts w:ascii="Segoe UI" w:eastAsia="宋体" w:hAnsi="Segoe UI" w:cs="Segoe UI"/>
                <w:color w:val="333333"/>
                <w:kern w:val="0"/>
                <w:sz w:val="18"/>
                <w:szCs w:val="18"/>
              </w:rPr>
              <w:br/>
              <w:t>2011 Modular Level I, Vol. 3, pp. 435–436</w:t>
            </w:r>
            <w:r w:rsidRPr="009E2EA0">
              <w:rPr>
                <w:rFonts w:ascii="Segoe UI" w:eastAsia="宋体" w:hAnsi="Segoe UI" w:cs="Segoe UI"/>
                <w:color w:val="333333"/>
                <w:kern w:val="0"/>
                <w:sz w:val="18"/>
                <w:szCs w:val="18"/>
              </w:rPr>
              <w:br/>
              <w:t>Study Session 9–37–h</w:t>
            </w:r>
            <w:r w:rsidRPr="009E2EA0">
              <w:rPr>
                <w:rFonts w:ascii="Segoe UI" w:eastAsia="宋体" w:hAnsi="Segoe UI" w:cs="Segoe UI"/>
                <w:color w:val="333333"/>
                <w:kern w:val="0"/>
                <w:sz w:val="18"/>
                <w:szCs w:val="18"/>
              </w:rPr>
              <w:br/>
              <w:t>Discuss the impairment of property, plant and equipment, and intangible assets.</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t>Intangible assets with indefinite lives need to be tested for impairment at least annually. PP&amp;E and intangibles with finite lives are tested only if there has been a significant change or other indication of impairment. </w:t>
            </w:r>
          </w:p>
        </w:tc>
      </w:tr>
    </w:tbl>
    <w:p w:rsidR="009E2EA0" w:rsidRDefault="009E2EA0">
      <w:pPr>
        <w:rPr>
          <w:rFonts w:hint="eastAsia"/>
        </w:rPr>
      </w:pPr>
    </w:p>
    <w:tbl>
      <w:tblPr>
        <w:tblW w:w="5000" w:type="pct"/>
        <w:tblCellSpacing w:w="15" w:type="dxa"/>
        <w:tblCellMar>
          <w:top w:w="30" w:type="dxa"/>
          <w:left w:w="30" w:type="dxa"/>
          <w:bottom w:w="30" w:type="dxa"/>
          <w:right w:w="30" w:type="dxa"/>
        </w:tblCellMar>
        <w:tblLook w:val="04A0"/>
      </w:tblPr>
      <w:tblGrid>
        <w:gridCol w:w="420"/>
        <w:gridCol w:w="625"/>
        <w:gridCol w:w="7108"/>
        <w:gridCol w:w="96"/>
        <w:gridCol w:w="96"/>
        <w:gridCol w:w="111"/>
      </w:tblGrid>
      <w:tr w:rsidR="009E2EA0" w:rsidRPr="009E2EA0" w:rsidTr="009E2EA0">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E2EA0" w:rsidRPr="009E2EA0" w:rsidRDefault="009E2EA0" w:rsidP="009E2EA0">
            <w:pPr>
              <w:widowControl/>
              <w:jc w:val="left"/>
              <w:rPr>
                <w:rFonts w:ascii="Segoe UI" w:eastAsia="宋体" w:hAnsi="Segoe UI" w:cs="Segoe UI"/>
                <w:b/>
                <w:bCs/>
                <w:color w:val="000000"/>
                <w:kern w:val="0"/>
                <w:sz w:val="18"/>
                <w:szCs w:val="18"/>
              </w:rPr>
            </w:pPr>
            <w:r w:rsidRPr="009E2EA0">
              <w:rPr>
                <w:rFonts w:ascii="Segoe UI" w:eastAsia="宋体" w:hAnsi="Segoe UI" w:cs="Segoe UI"/>
                <w:b/>
                <w:bCs/>
                <w:color w:val="000000"/>
                <w:kern w:val="0"/>
                <w:sz w:val="18"/>
                <w:szCs w:val="18"/>
              </w:rPr>
              <w:t>31</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On 1 January 2010 the market rate of interest on a company’s bonds is 5 percent and it issues a bond with the following characteristics:</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66"/>
              <w:gridCol w:w="4319"/>
            </w:tblGrid>
            <w:tr w:rsidR="009E2EA0" w:rsidRPr="009E2EA0">
              <w:trPr>
                <w:tblCellSpacing w:w="15" w:type="dxa"/>
              </w:trPr>
              <w:tc>
                <w:tcPr>
                  <w:tcW w:w="259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Face value</w:t>
                  </w:r>
                </w:p>
              </w:tc>
              <w:tc>
                <w:tcPr>
                  <w:tcW w:w="3150"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€50 million</w:t>
                  </w:r>
                </w:p>
              </w:tc>
            </w:tr>
            <w:tr w:rsidR="009E2EA0" w:rsidRPr="009E2EA0">
              <w:trPr>
                <w:tblCellSpacing w:w="15" w:type="dxa"/>
              </w:trPr>
              <w:tc>
                <w:tcPr>
                  <w:tcW w:w="259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Coupon rate, paid annually</w:t>
                  </w:r>
                </w:p>
              </w:tc>
              <w:tc>
                <w:tcPr>
                  <w:tcW w:w="3150"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4%</w:t>
                  </w:r>
                </w:p>
              </w:tc>
            </w:tr>
            <w:tr w:rsidR="009E2EA0" w:rsidRPr="009E2EA0">
              <w:trPr>
                <w:tblCellSpacing w:w="15" w:type="dxa"/>
              </w:trPr>
              <w:tc>
                <w:tcPr>
                  <w:tcW w:w="259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Maturity date</w:t>
                  </w:r>
                </w:p>
              </w:tc>
              <w:tc>
                <w:tcPr>
                  <w:tcW w:w="3150"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December 31, 2019 (10 years)</w:t>
                  </w:r>
                </w:p>
              </w:tc>
            </w:tr>
            <w:tr w:rsidR="009E2EA0" w:rsidRPr="009E2EA0">
              <w:trPr>
                <w:tblCellSpacing w:w="15" w:type="dxa"/>
              </w:trPr>
              <w:tc>
                <w:tcPr>
                  <w:tcW w:w="2595"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Issue price</w:t>
                  </w:r>
                </w:p>
              </w:tc>
              <w:tc>
                <w:tcPr>
                  <w:tcW w:w="3150" w:type="dxa"/>
                  <w:tcBorders>
                    <w:top w:val="outset" w:sz="6" w:space="0" w:color="auto"/>
                    <w:left w:val="outset" w:sz="6" w:space="0" w:color="auto"/>
                    <w:bottom w:val="outset" w:sz="6" w:space="0" w:color="auto"/>
                    <w:right w:val="outset" w:sz="6" w:space="0" w:color="auto"/>
                  </w:tcBorders>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92.28</w:t>
                  </w:r>
                </w:p>
              </w:tc>
            </w:tr>
          </w:tbl>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br/>
              <w:t xml:space="preserve">If the company uses IFRS, its interest expense (in millions) in 2010 is </w:t>
            </w:r>
            <w:r w:rsidRPr="009E2EA0">
              <w:rPr>
                <w:rFonts w:ascii="Segoe UI" w:eastAsia="宋体" w:hAnsi="Segoe UI" w:cs="Segoe UI"/>
                <w:i/>
                <w:iCs/>
                <w:color w:val="333333"/>
                <w:kern w:val="0"/>
                <w:sz w:val="18"/>
                <w:szCs w:val="18"/>
              </w:rPr>
              <w:t>closest</w:t>
            </w:r>
            <w:r w:rsidRPr="009E2EA0">
              <w:rPr>
                <w:rFonts w:ascii="Segoe UI" w:eastAsia="宋体" w:hAnsi="Segoe UI" w:cs="Segoe UI"/>
                <w:color w:val="333333"/>
                <w:kern w:val="0"/>
                <w:sz w:val="18"/>
                <w:szCs w:val="18"/>
              </w:rPr>
              <w:t xml:space="preserve"> to:</w:t>
            </w:r>
          </w:p>
        </w:tc>
      </w:tr>
      <w:tr w:rsidR="009E2EA0" w:rsidRPr="009E2EA0" w:rsidTr="009E2EA0">
        <w:trPr>
          <w:trHeight w:val="525"/>
          <w:tblCellSpacing w:w="15" w:type="dxa"/>
        </w:trPr>
        <w:tc>
          <w:tcPr>
            <w:tcW w:w="375" w:type="dxa"/>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E2EA0" w:rsidRPr="009E2EA0" w:rsidRDefault="009E2EA0" w:rsidP="009E2EA0">
            <w:pPr>
              <w:widowControl/>
              <w:jc w:val="center"/>
              <w:rPr>
                <w:rFonts w:ascii="Segoe UI" w:eastAsia="宋体" w:hAnsi="Segoe UI" w:cs="Segoe UI"/>
                <w:color w:val="000000"/>
                <w:kern w:val="0"/>
                <w:sz w:val="18"/>
                <w:szCs w:val="18"/>
              </w:rPr>
            </w:pPr>
            <w:r w:rsidRPr="009E2EA0">
              <w:rPr>
                <w:rFonts w:ascii="Segoe UI" w:eastAsia="宋体" w:hAnsi="Segoe UI" w:cs="Segoe UI"/>
                <w:color w:val="000000"/>
                <w:kern w:val="0"/>
                <w:sz w:val="18"/>
                <w:szCs w:val="18"/>
              </w:rPr>
              <w:object w:dxaOrig="1440" w:dyaOrig="1440">
                <v:shape id="_x0000_i1345" type="#_x0000_t75" style="width:20.25pt;height:15.75pt" o:ole="">
                  <v:imagedata r:id="rId7" o:title=""/>
                </v:shape>
                <w:control r:id="rId99" w:name="DefaultOcxName50" w:shapeid="_x0000_i134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E2EA0" w:rsidRPr="009E2EA0" w:rsidRDefault="009E2EA0" w:rsidP="009E2EA0">
            <w:pPr>
              <w:widowControl/>
              <w:jc w:val="left"/>
              <w:rPr>
                <w:rFonts w:ascii="Segoe UI" w:eastAsia="宋体" w:hAnsi="Segoe UI" w:cs="Segoe UI"/>
                <w:color w:val="000000"/>
                <w:kern w:val="0"/>
                <w:sz w:val="18"/>
                <w:szCs w:val="18"/>
              </w:rPr>
            </w:pPr>
            <w:r w:rsidRPr="009E2EA0">
              <w:rPr>
                <w:rFonts w:ascii="Segoe UI" w:eastAsia="宋体" w:hAnsi="Segoe UI" w:cs="Segoe UI"/>
                <w:b/>
                <w:bCs/>
                <w:color w:val="000000"/>
                <w:kern w:val="0"/>
                <w:sz w:val="18"/>
                <w:szCs w:val="18"/>
              </w:rPr>
              <w:t>A.</w:t>
            </w:r>
            <w:r w:rsidRPr="009E2EA0">
              <w:rPr>
                <w:rFonts w:ascii="Segoe UI" w:eastAsia="宋体" w:hAnsi="Segoe UI" w:cs="Segoe UI"/>
                <w:color w:val="000000"/>
                <w:kern w:val="0"/>
                <w:sz w:val="18"/>
                <w:szCs w:val="18"/>
              </w:rPr>
              <w:t xml:space="preserve"> €1.846.</w:t>
            </w: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r>
      <w:tr w:rsidR="009E2EA0" w:rsidRPr="009E2EA0" w:rsidTr="009E2EA0">
        <w:trPr>
          <w:trHeight w:val="525"/>
          <w:tblCellSpacing w:w="15" w:type="dxa"/>
        </w:trPr>
        <w:tc>
          <w:tcPr>
            <w:tcW w:w="375" w:type="dxa"/>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E2EA0" w:rsidRPr="009E2EA0" w:rsidRDefault="009E2EA0" w:rsidP="009E2EA0">
            <w:pPr>
              <w:widowControl/>
              <w:jc w:val="center"/>
              <w:rPr>
                <w:rFonts w:ascii="Segoe UI" w:eastAsia="宋体" w:hAnsi="Segoe UI" w:cs="Segoe UI"/>
                <w:color w:val="000000"/>
                <w:kern w:val="0"/>
                <w:sz w:val="18"/>
                <w:szCs w:val="18"/>
              </w:rPr>
            </w:pPr>
            <w:r w:rsidRPr="009E2EA0">
              <w:rPr>
                <w:rFonts w:ascii="Segoe UI" w:eastAsia="宋体" w:hAnsi="Segoe UI" w:cs="Segoe UI"/>
                <w:color w:val="000000"/>
                <w:kern w:val="0"/>
                <w:sz w:val="18"/>
                <w:szCs w:val="18"/>
              </w:rPr>
              <w:object w:dxaOrig="1440" w:dyaOrig="1440">
                <v:shape id="_x0000_i1344" type="#_x0000_t75" style="width:20.25pt;height:15.75pt" o:ole="">
                  <v:imagedata r:id="rId9" o:title=""/>
                </v:shape>
                <w:control r:id="rId100" w:name="DefaultOcxName130" w:shapeid="_x0000_i134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E2EA0" w:rsidRPr="009E2EA0" w:rsidRDefault="009E2EA0" w:rsidP="009E2EA0">
            <w:pPr>
              <w:widowControl/>
              <w:jc w:val="left"/>
              <w:rPr>
                <w:rFonts w:ascii="Segoe UI" w:eastAsia="宋体" w:hAnsi="Segoe UI" w:cs="Segoe UI"/>
                <w:color w:val="000000"/>
                <w:kern w:val="0"/>
                <w:sz w:val="18"/>
                <w:szCs w:val="18"/>
              </w:rPr>
            </w:pPr>
            <w:r w:rsidRPr="009E2EA0">
              <w:rPr>
                <w:rFonts w:ascii="Segoe UI" w:eastAsia="宋体" w:hAnsi="Segoe UI" w:cs="Segoe UI"/>
                <w:b/>
                <w:bCs/>
                <w:color w:val="000000"/>
                <w:kern w:val="0"/>
                <w:sz w:val="18"/>
                <w:szCs w:val="18"/>
              </w:rPr>
              <w:t>B.</w:t>
            </w:r>
            <w:r w:rsidRPr="009E2EA0">
              <w:rPr>
                <w:rFonts w:ascii="Segoe UI" w:eastAsia="宋体" w:hAnsi="Segoe UI" w:cs="Segoe UI"/>
                <w:color w:val="000000"/>
                <w:kern w:val="0"/>
                <w:sz w:val="18"/>
                <w:szCs w:val="18"/>
              </w:rPr>
              <w:t xml:space="preserve"> €2.307.</w:t>
            </w: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r>
      <w:tr w:rsidR="009E2EA0" w:rsidRPr="009E2EA0" w:rsidTr="009E2EA0">
        <w:trPr>
          <w:trHeight w:val="525"/>
          <w:tblCellSpacing w:w="15" w:type="dxa"/>
        </w:trPr>
        <w:tc>
          <w:tcPr>
            <w:tcW w:w="375" w:type="dxa"/>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E2EA0" w:rsidRPr="009E2EA0" w:rsidRDefault="009E2EA0" w:rsidP="009E2EA0">
            <w:pPr>
              <w:widowControl/>
              <w:jc w:val="center"/>
              <w:rPr>
                <w:rFonts w:ascii="Segoe UI" w:eastAsia="宋体" w:hAnsi="Segoe UI" w:cs="Segoe UI"/>
                <w:color w:val="000000"/>
                <w:kern w:val="0"/>
                <w:sz w:val="18"/>
                <w:szCs w:val="18"/>
              </w:rPr>
            </w:pPr>
            <w:r w:rsidRPr="009E2EA0">
              <w:rPr>
                <w:rFonts w:ascii="Segoe UI" w:eastAsia="宋体" w:hAnsi="Segoe UI" w:cs="Segoe UI"/>
                <w:color w:val="000000"/>
                <w:kern w:val="0"/>
                <w:sz w:val="18"/>
                <w:szCs w:val="18"/>
              </w:rPr>
              <w:object w:dxaOrig="1440" w:dyaOrig="1440">
                <v:shape id="_x0000_i1343" type="#_x0000_t75" style="width:20.25pt;height:15.75pt" o:ole="">
                  <v:imagedata r:id="rId9" o:title=""/>
                </v:shape>
                <w:control r:id="rId101" w:name="DefaultOcxName230" w:shapeid="_x0000_i134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E2EA0" w:rsidRPr="009E2EA0" w:rsidRDefault="009E2EA0" w:rsidP="009E2EA0">
            <w:pPr>
              <w:widowControl/>
              <w:jc w:val="left"/>
              <w:rPr>
                <w:rFonts w:ascii="Segoe UI" w:eastAsia="宋体" w:hAnsi="Segoe UI" w:cs="Segoe UI"/>
                <w:color w:val="000000"/>
                <w:kern w:val="0"/>
                <w:sz w:val="18"/>
                <w:szCs w:val="18"/>
              </w:rPr>
            </w:pPr>
            <w:r w:rsidRPr="009E2EA0">
              <w:rPr>
                <w:rFonts w:ascii="Segoe UI" w:eastAsia="宋体" w:hAnsi="Segoe UI" w:cs="Segoe UI"/>
                <w:b/>
                <w:bCs/>
                <w:color w:val="000000"/>
                <w:kern w:val="0"/>
                <w:sz w:val="18"/>
                <w:szCs w:val="18"/>
              </w:rPr>
              <w:t>C.</w:t>
            </w:r>
            <w:r w:rsidRPr="009E2EA0">
              <w:rPr>
                <w:rFonts w:ascii="Segoe UI" w:eastAsia="宋体" w:hAnsi="Segoe UI" w:cs="Segoe UI"/>
                <w:color w:val="000000"/>
                <w:kern w:val="0"/>
                <w:sz w:val="18"/>
                <w:szCs w:val="18"/>
              </w:rPr>
              <w:t xml:space="preserve"> €2.500.</w:t>
            </w: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c>
          <w:tcPr>
            <w:tcW w:w="0" w:type="auto"/>
            <w:vAlign w:val="center"/>
            <w:hideMark/>
          </w:tcPr>
          <w:p w:rsidR="009E2EA0" w:rsidRPr="009E2EA0" w:rsidRDefault="009E2EA0" w:rsidP="009E2EA0">
            <w:pPr>
              <w:widowControl/>
              <w:jc w:val="left"/>
              <w:rPr>
                <w:rFonts w:ascii="Times New Roman" w:eastAsia="Times New Roman" w:hAnsi="Times New Roman" w:cs="Times New Roman"/>
                <w:kern w:val="0"/>
                <w:sz w:val="20"/>
                <w:szCs w:val="20"/>
              </w:rPr>
            </w:pPr>
          </w:p>
        </w:tc>
      </w:tr>
      <w:tr w:rsidR="009E2EA0" w:rsidRPr="009E2EA0" w:rsidTr="009E2EA0">
        <w:trPr>
          <w:trHeight w:val="525"/>
          <w:tblCellSpacing w:w="15" w:type="dxa"/>
        </w:trPr>
        <w:tc>
          <w:tcPr>
            <w:tcW w:w="375" w:type="dxa"/>
            <w:noWrap/>
            <w:vAlign w:val="center"/>
            <w:hideMark/>
          </w:tcPr>
          <w:p w:rsidR="009E2EA0" w:rsidRPr="009E2EA0" w:rsidRDefault="009E2EA0" w:rsidP="009E2EA0">
            <w:pPr>
              <w:widowControl/>
              <w:jc w:val="center"/>
              <w:rPr>
                <w:rFonts w:ascii="Segoe UI" w:eastAsia="宋体" w:hAnsi="Segoe UI" w:cs="Segoe UI"/>
                <w:color w:val="333333"/>
                <w:kern w:val="0"/>
                <w:sz w:val="18"/>
                <w:szCs w:val="18"/>
              </w:rPr>
            </w:pPr>
            <w:r w:rsidRPr="009E2EA0">
              <w:rPr>
                <w:rFonts w:ascii="Segoe UI" w:eastAsia="宋体" w:hAnsi="Segoe UI" w:cs="Segoe UI"/>
                <w:color w:val="333333"/>
                <w:kern w:val="0"/>
                <w:sz w:val="18"/>
                <w:szCs w:val="18"/>
              </w:rPr>
              <w:t> </w:t>
            </w:r>
          </w:p>
        </w:tc>
        <w:tc>
          <w:tcPr>
            <w:tcW w:w="0" w:type="auto"/>
            <w:gridSpan w:val="5"/>
            <w:shd w:val="clear" w:color="auto" w:fill="FF6347"/>
            <w:vAlign w:val="center"/>
            <w:hideMark/>
          </w:tcPr>
          <w:p w:rsidR="009E2EA0" w:rsidRPr="009E2EA0" w:rsidRDefault="009E2EA0" w:rsidP="009E2EA0">
            <w:pPr>
              <w:widowControl/>
              <w:jc w:val="left"/>
              <w:rPr>
                <w:rFonts w:ascii="Segoe UI" w:eastAsia="宋体" w:hAnsi="Segoe UI" w:cs="Segoe UI"/>
                <w:color w:val="333333"/>
                <w:kern w:val="0"/>
                <w:sz w:val="18"/>
                <w:szCs w:val="18"/>
              </w:rPr>
            </w:pPr>
            <w:r w:rsidRPr="009E2EA0">
              <w:rPr>
                <w:rFonts w:ascii="Segoe UI" w:eastAsia="宋体" w:hAnsi="Segoe UI" w:cs="Segoe UI"/>
                <w:b/>
                <w:bCs/>
                <w:color w:val="000080"/>
                <w:kern w:val="0"/>
                <w:sz w:val="16"/>
                <w:szCs w:val="16"/>
              </w:rPr>
              <w:t>Feedback:</w:t>
            </w:r>
            <w:r w:rsidRPr="009E2EA0">
              <w:rPr>
                <w:rFonts w:ascii="Segoe UI" w:eastAsia="宋体" w:hAnsi="Segoe UI" w:cs="Segoe UI"/>
                <w:color w:val="333333"/>
                <w:kern w:val="0"/>
                <w:sz w:val="18"/>
                <w:szCs w:val="18"/>
              </w:rPr>
              <w:t xml:space="preserve"> You have answered incorrectly.</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t xml:space="preserve">Correct answer: </w:t>
            </w:r>
            <w:r w:rsidRPr="009E2EA0">
              <w:rPr>
                <w:rFonts w:ascii="Segoe UI" w:eastAsia="宋体" w:hAnsi="Segoe UI" w:cs="Segoe UI"/>
                <w:b/>
                <w:bCs/>
                <w:color w:val="333333"/>
                <w:kern w:val="0"/>
                <w:sz w:val="18"/>
                <w:szCs w:val="18"/>
              </w:rPr>
              <w:t>B</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lastRenderedPageBreak/>
              <w:br/>
              <w:t>"Non-Current (Long-Term) Liabilities," Elizabeth A. Gordon and Elaine Henry, CFA</w:t>
            </w:r>
            <w:r w:rsidRPr="009E2EA0">
              <w:rPr>
                <w:rFonts w:ascii="Segoe UI" w:eastAsia="宋体" w:hAnsi="Segoe UI" w:cs="Segoe UI"/>
                <w:color w:val="333333"/>
                <w:kern w:val="0"/>
                <w:sz w:val="18"/>
                <w:szCs w:val="18"/>
              </w:rPr>
              <w:br/>
              <w:t>2011 Modular Level I, Vol. 3, pp. 505–508</w:t>
            </w:r>
            <w:r w:rsidRPr="009E2EA0">
              <w:rPr>
                <w:rFonts w:ascii="Segoe UI" w:eastAsia="宋体" w:hAnsi="Segoe UI" w:cs="Segoe UI"/>
                <w:color w:val="333333"/>
                <w:kern w:val="0"/>
                <w:sz w:val="18"/>
                <w:szCs w:val="18"/>
              </w:rPr>
              <w:br/>
              <w:t>Study Session 9–39–b</w:t>
            </w:r>
            <w:r w:rsidRPr="009E2EA0">
              <w:rPr>
                <w:rFonts w:ascii="Segoe UI" w:eastAsia="宋体" w:hAnsi="Segoe UI" w:cs="Segoe UI"/>
                <w:color w:val="333333"/>
                <w:kern w:val="0"/>
                <w:sz w:val="18"/>
                <w:szCs w:val="18"/>
              </w:rPr>
              <w:br/>
              <w:t>Discuss the effective interest method and calculate interest expense, amortization of bond discounts/premiums, and interest payments.</w:t>
            </w:r>
            <w:r w:rsidRPr="009E2EA0">
              <w:rPr>
                <w:rFonts w:ascii="Segoe UI" w:eastAsia="宋体" w:hAnsi="Segoe UI" w:cs="Segoe UI"/>
                <w:color w:val="333333"/>
                <w:kern w:val="0"/>
                <w:sz w:val="18"/>
                <w:szCs w:val="18"/>
              </w:rPr>
              <w:br/>
            </w:r>
            <w:r w:rsidRPr="009E2EA0">
              <w:rPr>
                <w:rFonts w:ascii="Segoe UI" w:eastAsia="宋体" w:hAnsi="Segoe UI" w:cs="Segoe UI"/>
                <w:color w:val="333333"/>
                <w:kern w:val="0"/>
                <w:sz w:val="18"/>
                <w:szCs w:val="18"/>
              </w:rPr>
              <w:br/>
              <w:t xml:space="preserve">IFRS recommends the effective interest method for the amortization of bond discounts/premiums. The bond is issued for 0.9228 × 50 million = 46.140. </w:t>
            </w:r>
            <w:r w:rsidRPr="009E2EA0">
              <w:rPr>
                <w:rFonts w:ascii="Segoe UI" w:eastAsia="宋体" w:hAnsi="Segoe UI" w:cs="Segoe UI"/>
                <w:color w:val="333333"/>
                <w:kern w:val="0"/>
                <w:sz w:val="18"/>
                <w:szCs w:val="18"/>
              </w:rPr>
              <w:br/>
              <w:t>Interest expense = liability value × market rate at issuance: 0.05 × 46.140 = 2.307 </w:t>
            </w:r>
          </w:p>
        </w:tc>
      </w:tr>
    </w:tbl>
    <w:p w:rsidR="009E2EA0" w:rsidRDefault="009E2EA0">
      <w:pPr>
        <w:rPr>
          <w:rFonts w:hint="eastAsia"/>
        </w:rPr>
      </w:pPr>
    </w:p>
    <w:tbl>
      <w:tblPr>
        <w:tblW w:w="5000" w:type="pct"/>
        <w:tblCellSpacing w:w="15" w:type="dxa"/>
        <w:tblCellMar>
          <w:top w:w="30" w:type="dxa"/>
          <w:left w:w="30" w:type="dxa"/>
          <w:bottom w:w="30" w:type="dxa"/>
          <w:right w:w="30" w:type="dxa"/>
        </w:tblCellMar>
        <w:tblLook w:val="04A0"/>
      </w:tblPr>
      <w:tblGrid>
        <w:gridCol w:w="420"/>
        <w:gridCol w:w="716"/>
        <w:gridCol w:w="7017"/>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32</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An analyst is assessing a company’s quality of earnings by looking at the cash flow earnings index (operating cash flow divided by net income). Potential problems would </w:t>
            </w:r>
            <w:r w:rsidRPr="00984CA7">
              <w:rPr>
                <w:rFonts w:ascii="Segoe UI" w:eastAsia="宋体" w:hAnsi="Segoe UI" w:cs="Segoe UI"/>
                <w:i/>
                <w:iCs/>
                <w:color w:val="333333"/>
                <w:kern w:val="0"/>
                <w:sz w:val="18"/>
                <w:szCs w:val="18"/>
              </w:rPr>
              <w:t>most likely</w:t>
            </w:r>
            <w:r w:rsidRPr="00984CA7">
              <w:rPr>
                <w:rFonts w:ascii="Segoe UI" w:eastAsia="宋体" w:hAnsi="Segoe UI" w:cs="Segoe UI"/>
                <w:color w:val="333333"/>
                <w:kern w:val="0"/>
                <w:sz w:val="18"/>
                <w:szCs w:val="18"/>
              </w:rPr>
              <w:t xml:space="preserve"> be indicated if the ratio were consistently:</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54" type="#_x0000_t75" style="width:20.25pt;height:15.75pt" o:ole="">
                  <v:imagedata r:id="rId7" o:title=""/>
                </v:shape>
                <w:control r:id="rId102" w:name="DefaultOcxName51" w:shapeid="_x0000_i135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equal to 1.0.</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53" type="#_x0000_t75" style="width:20.25pt;height:15.75pt" o:ole="">
                  <v:imagedata r:id="rId9" o:title=""/>
                </v:shape>
                <w:control r:id="rId103" w:name="DefaultOcxName131" w:shapeid="_x0000_i135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less than 1.0.</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52" type="#_x0000_t75" style="width:20.25pt;height:15.75pt" o:ole="">
                  <v:imagedata r:id="rId9" o:title=""/>
                </v:shape>
                <w:control r:id="rId104" w:name="DefaultOcxName231" w:shapeid="_x0000_i135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greater than 1.0.</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FF6347"/>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incorrectly.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B</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"Financial Reporting Quality: Red Flags and Accounting Warning Signs," Thomas R. Robinson, CFA, and Paul </w:t>
            </w:r>
            <w:proofErr w:type="spellStart"/>
            <w:r w:rsidRPr="00984CA7">
              <w:rPr>
                <w:rFonts w:ascii="Segoe UI" w:eastAsia="宋体" w:hAnsi="Segoe UI" w:cs="Segoe UI"/>
                <w:color w:val="333333"/>
                <w:kern w:val="0"/>
                <w:sz w:val="18"/>
                <w:szCs w:val="18"/>
              </w:rPr>
              <w:t>Munter</w:t>
            </w:r>
            <w:proofErr w:type="spellEnd"/>
            <w:r w:rsidRPr="00984CA7">
              <w:rPr>
                <w:rFonts w:ascii="Segoe UI" w:eastAsia="宋体" w:hAnsi="Segoe UI" w:cs="Segoe UI"/>
                <w:color w:val="333333"/>
                <w:kern w:val="0"/>
                <w:sz w:val="18"/>
                <w:szCs w:val="18"/>
              </w:rPr>
              <w:br/>
              <w:t>2011 Modular Level I, Vol. 3, p. 562</w:t>
            </w:r>
            <w:r w:rsidRPr="00984CA7">
              <w:rPr>
                <w:rFonts w:ascii="Segoe UI" w:eastAsia="宋体" w:hAnsi="Segoe UI" w:cs="Segoe UI"/>
                <w:color w:val="333333"/>
                <w:kern w:val="0"/>
                <w:sz w:val="18"/>
                <w:szCs w:val="18"/>
              </w:rPr>
              <w:br/>
              <w:t>Study Session 10–40–e</w:t>
            </w:r>
            <w:r w:rsidRPr="00984CA7">
              <w:rPr>
                <w:rFonts w:ascii="Segoe UI" w:eastAsia="宋体" w:hAnsi="Segoe UI" w:cs="Segoe UI"/>
                <w:color w:val="333333"/>
                <w:kern w:val="0"/>
                <w:sz w:val="18"/>
                <w:szCs w:val="18"/>
              </w:rPr>
              <w:br/>
              <w:t>Describe common accounting warning signs and methods for detecting each.</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A cash flow earnings index consistently below 1.0 could indicate potential problems in a company's quality of earnings.</w:t>
            </w:r>
          </w:p>
        </w:tc>
      </w:tr>
    </w:tbl>
    <w:p w:rsidR="009E2EA0" w:rsidRDefault="009E2EA0">
      <w:pPr>
        <w:rPr>
          <w:rFonts w:hint="eastAsia"/>
        </w:rPr>
      </w:pPr>
    </w:p>
    <w:tbl>
      <w:tblPr>
        <w:tblW w:w="5000" w:type="pct"/>
        <w:tblCellSpacing w:w="15" w:type="dxa"/>
        <w:tblCellMar>
          <w:top w:w="30" w:type="dxa"/>
          <w:left w:w="30" w:type="dxa"/>
          <w:bottom w:w="30" w:type="dxa"/>
          <w:right w:w="30" w:type="dxa"/>
        </w:tblCellMar>
        <w:tblLook w:val="04A0"/>
      </w:tblPr>
      <w:tblGrid>
        <w:gridCol w:w="420"/>
        <w:gridCol w:w="767"/>
        <w:gridCol w:w="6966"/>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33</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As a result of a change in strategy to selling differentiated products at premium prices, a company’s gross margin ratio increased by 5 percentage points (i.e., from 35 percent to 40 percent). The </w:t>
            </w:r>
            <w:r w:rsidRPr="00984CA7">
              <w:rPr>
                <w:rFonts w:ascii="Segoe UI" w:eastAsia="宋体" w:hAnsi="Segoe UI" w:cs="Segoe UI"/>
                <w:i/>
                <w:iCs/>
                <w:color w:val="333333"/>
                <w:kern w:val="0"/>
                <w:sz w:val="18"/>
                <w:szCs w:val="18"/>
              </w:rPr>
              <w:t>most likely</w:t>
            </w:r>
            <w:r w:rsidRPr="00984CA7">
              <w:rPr>
                <w:rFonts w:ascii="Segoe UI" w:eastAsia="宋体" w:hAnsi="Segoe UI" w:cs="Segoe UI"/>
                <w:color w:val="333333"/>
                <w:kern w:val="0"/>
                <w:sz w:val="18"/>
                <w:szCs w:val="18"/>
              </w:rPr>
              <w:t xml:space="preserve"> effect on the company’s operating margin ratio as a result of the change in strategy would be an increase:</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63" type="#_x0000_t75" style="width:20.25pt;height:15.75pt" o:ole="">
                  <v:imagedata r:id="rId7" o:title=""/>
                </v:shape>
                <w:control r:id="rId105" w:name="DefaultOcxName52" w:shapeid="_x0000_i136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equal to 5%.</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62" type="#_x0000_t75" style="width:20.25pt;height:15.75pt" o:ole="">
                  <v:imagedata r:id="rId9" o:title=""/>
                </v:shape>
                <w:control r:id="rId106" w:name="DefaultOcxName132" w:shapeid="_x0000_i136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less than 5%.</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61" type="#_x0000_t75" style="width:20.25pt;height:15.75pt" o:ole="">
                  <v:imagedata r:id="rId9" o:title=""/>
                </v:shape>
                <w:control r:id="rId107" w:name="DefaultOcxName232" w:shapeid="_x0000_i136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greater than 5%.</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FF6347"/>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incorrectly.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B</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"Financial Statement Analysis: Applications," Thomas R. Robinson, CFA, Jan </w:t>
            </w:r>
            <w:proofErr w:type="spellStart"/>
            <w:r w:rsidRPr="00984CA7">
              <w:rPr>
                <w:rFonts w:ascii="Segoe UI" w:eastAsia="宋体" w:hAnsi="Segoe UI" w:cs="Segoe UI"/>
                <w:color w:val="333333"/>
                <w:kern w:val="0"/>
                <w:sz w:val="18"/>
                <w:szCs w:val="18"/>
              </w:rPr>
              <w:t>Hendrik</w:t>
            </w:r>
            <w:proofErr w:type="spellEnd"/>
            <w:r w:rsidRPr="00984CA7">
              <w:rPr>
                <w:rFonts w:ascii="Segoe UI" w:eastAsia="宋体" w:hAnsi="Segoe UI" w:cs="Segoe UI"/>
                <w:color w:val="333333"/>
                <w:kern w:val="0"/>
                <w:sz w:val="18"/>
                <w:szCs w:val="18"/>
              </w:rPr>
              <w:t xml:space="preserve"> van </w:t>
            </w:r>
            <w:proofErr w:type="spellStart"/>
            <w:r w:rsidRPr="00984CA7">
              <w:rPr>
                <w:rFonts w:ascii="Segoe UI" w:eastAsia="宋体" w:hAnsi="Segoe UI" w:cs="Segoe UI"/>
                <w:color w:val="333333"/>
                <w:kern w:val="0"/>
                <w:sz w:val="18"/>
                <w:szCs w:val="18"/>
              </w:rPr>
              <w:t>Greuning</w:t>
            </w:r>
            <w:proofErr w:type="spellEnd"/>
            <w:r w:rsidRPr="00984CA7">
              <w:rPr>
                <w:rFonts w:ascii="Segoe UI" w:eastAsia="宋体" w:hAnsi="Segoe UI" w:cs="Segoe UI"/>
                <w:color w:val="333333"/>
                <w:kern w:val="0"/>
                <w:sz w:val="18"/>
                <w:szCs w:val="18"/>
              </w:rPr>
              <w:t xml:space="preserve">, CFA, Elaine Henry, CFA, and Michael A. </w:t>
            </w:r>
            <w:proofErr w:type="spellStart"/>
            <w:r w:rsidRPr="00984CA7">
              <w:rPr>
                <w:rFonts w:ascii="Segoe UI" w:eastAsia="宋体" w:hAnsi="Segoe UI" w:cs="Segoe UI"/>
                <w:color w:val="333333"/>
                <w:kern w:val="0"/>
                <w:sz w:val="18"/>
                <w:szCs w:val="18"/>
              </w:rPr>
              <w:t>Broihahn</w:t>
            </w:r>
            <w:proofErr w:type="spellEnd"/>
            <w:r w:rsidRPr="00984CA7">
              <w:rPr>
                <w:rFonts w:ascii="Segoe UI" w:eastAsia="宋体" w:hAnsi="Segoe UI" w:cs="Segoe UI"/>
                <w:color w:val="333333"/>
                <w:kern w:val="0"/>
                <w:sz w:val="18"/>
                <w:szCs w:val="18"/>
              </w:rPr>
              <w:t xml:space="preserve">, CFA </w:t>
            </w:r>
            <w:r w:rsidRPr="00984CA7">
              <w:rPr>
                <w:rFonts w:ascii="Segoe UI" w:eastAsia="宋体" w:hAnsi="Segoe UI" w:cs="Segoe UI"/>
                <w:color w:val="333333"/>
                <w:kern w:val="0"/>
                <w:sz w:val="18"/>
                <w:szCs w:val="18"/>
              </w:rPr>
              <w:br/>
              <w:t>2011 Modular Level I, Vol. 3, pp. 591–594</w:t>
            </w:r>
            <w:r w:rsidRPr="00984CA7">
              <w:rPr>
                <w:rFonts w:ascii="Segoe UI" w:eastAsia="宋体" w:hAnsi="Segoe UI" w:cs="Segoe UI"/>
                <w:color w:val="333333"/>
                <w:kern w:val="0"/>
                <w:sz w:val="18"/>
                <w:szCs w:val="18"/>
              </w:rPr>
              <w:br/>
              <w:t>Study Session 10–42–a</w:t>
            </w:r>
            <w:r w:rsidRPr="00984CA7">
              <w:rPr>
                <w:rFonts w:ascii="Segoe UI" w:eastAsia="宋体" w:hAnsi="Segoe UI" w:cs="Segoe UI"/>
                <w:color w:val="333333"/>
                <w:kern w:val="0"/>
                <w:sz w:val="18"/>
                <w:szCs w:val="18"/>
              </w:rPr>
              <w:br/>
              <w:t>Evaluate a company's past financial performance and explain how a company's strategy is reflected in past financial performance.</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A strategy of selling differentiated products at premium prices usually requires additional advertising or research and development to support the differentiating features; therefore, the effect on operating profit is normally less than the effect on gross profit margin.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784"/>
        <w:gridCol w:w="6949"/>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34</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A retail company that leases the majority of its space has total assets of $4,500 million and total long-term debt of $2,125 million bearing an average interest rate of 10 percent. Note 8 to the 2010 financial statements contains the following information about the company’s leases:</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77"/>
              <w:gridCol w:w="3308"/>
            </w:tblGrid>
            <w:tr w:rsidR="00984CA7" w:rsidRPr="00984CA7">
              <w:trPr>
                <w:tblCellSpacing w:w="15" w:type="dxa"/>
              </w:trPr>
              <w:tc>
                <w:tcPr>
                  <w:tcW w:w="3255" w:type="dxa"/>
                  <w:gridSpan w:val="2"/>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Note 8: Operating leases.</w:t>
                  </w:r>
                </w:p>
              </w:tc>
            </w:tr>
            <w:tr w:rsidR="00984CA7" w:rsidRPr="00984CA7">
              <w:trPr>
                <w:tblCellSpacing w:w="15" w:type="dxa"/>
              </w:trPr>
              <w:tc>
                <w:tcPr>
                  <w:tcW w:w="187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Year</w:t>
                  </w:r>
                </w:p>
              </w:tc>
              <w:tc>
                <w:tcPr>
                  <w:tcW w:w="12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Millions</w:t>
                  </w:r>
                </w:p>
              </w:tc>
            </w:tr>
            <w:tr w:rsidR="00984CA7" w:rsidRPr="00984CA7">
              <w:trPr>
                <w:tblCellSpacing w:w="15" w:type="dxa"/>
              </w:trPr>
              <w:tc>
                <w:tcPr>
                  <w:tcW w:w="187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2011</w:t>
                  </w:r>
                </w:p>
              </w:tc>
              <w:tc>
                <w:tcPr>
                  <w:tcW w:w="12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$ 140</w:t>
                  </w:r>
                </w:p>
              </w:tc>
            </w:tr>
            <w:tr w:rsidR="00984CA7" w:rsidRPr="00984CA7">
              <w:trPr>
                <w:tblCellSpacing w:w="15" w:type="dxa"/>
              </w:trPr>
              <w:tc>
                <w:tcPr>
                  <w:tcW w:w="187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2012</w:t>
                  </w:r>
                </w:p>
              </w:tc>
              <w:tc>
                <w:tcPr>
                  <w:tcW w:w="12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140</w:t>
                  </w:r>
                </w:p>
              </w:tc>
            </w:tr>
            <w:tr w:rsidR="00984CA7" w:rsidRPr="00984CA7">
              <w:trPr>
                <w:tblCellSpacing w:w="15" w:type="dxa"/>
              </w:trPr>
              <w:tc>
                <w:tcPr>
                  <w:tcW w:w="187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2013</w:t>
                  </w:r>
                </w:p>
              </w:tc>
              <w:tc>
                <w:tcPr>
                  <w:tcW w:w="12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140</w:t>
                  </w:r>
                </w:p>
              </w:tc>
            </w:tr>
            <w:tr w:rsidR="00984CA7" w:rsidRPr="00984CA7">
              <w:trPr>
                <w:tblCellSpacing w:w="15" w:type="dxa"/>
              </w:trPr>
              <w:tc>
                <w:tcPr>
                  <w:tcW w:w="187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2014</w:t>
                  </w:r>
                </w:p>
              </w:tc>
              <w:tc>
                <w:tcPr>
                  <w:tcW w:w="12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140</w:t>
                  </w:r>
                </w:p>
              </w:tc>
            </w:tr>
            <w:tr w:rsidR="00984CA7" w:rsidRPr="00984CA7">
              <w:trPr>
                <w:tblCellSpacing w:w="15" w:type="dxa"/>
              </w:trPr>
              <w:tc>
                <w:tcPr>
                  <w:tcW w:w="187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2015</w:t>
                  </w:r>
                </w:p>
              </w:tc>
              <w:tc>
                <w:tcPr>
                  <w:tcW w:w="12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140</w:t>
                  </w:r>
                </w:p>
              </w:tc>
            </w:tr>
            <w:tr w:rsidR="00984CA7" w:rsidRPr="00984CA7">
              <w:trPr>
                <w:tblCellSpacing w:w="15" w:type="dxa"/>
              </w:trPr>
              <w:tc>
                <w:tcPr>
                  <w:tcW w:w="187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2016 and thereafter</w:t>
                  </w:r>
                </w:p>
              </w:tc>
              <w:tc>
                <w:tcPr>
                  <w:tcW w:w="12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u w:val="single"/>
                    </w:rPr>
                    <w:t>1,260</w:t>
                  </w:r>
                </w:p>
              </w:tc>
            </w:tr>
            <w:tr w:rsidR="00984CA7" w:rsidRPr="00984CA7">
              <w:trPr>
                <w:tblCellSpacing w:w="15" w:type="dxa"/>
              </w:trPr>
              <w:tc>
                <w:tcPr>
                  <w:tcW w:w="187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Total</w:t>
                  </w:r>
                </w:p>
              </w:tc>
              <w:tc>
                <w:tcPr>
                  <w:tcW w:w="12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$1,960</w:t>
                  </w:r>
                </w:p>
              </w:tc>
            </w:tr>
          </w:tbl>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br/>
              <w:t xml:space="preserve">After adjustment for the off-balance sheet financing, the debt-to-total-assets ratio for the company is </w:t>
            </w:r>
            <w:r w:rsidRPr="00984CA7">
              <w:rPr>
                <w:rFonts w:ascii="Segoe UI" w:eastAsia="宋体" w:hAnsi="Segoe UI" w:cs="Segoe UI"/>
                <w:i/>
                <w:iCs/>
                <w:color w:val="333333"/>
                <w:kern w:val="0"/>
                <w:sz w:val="18"/>
                <w:szCs w:val="18"/>
              </w:rPr>
              <w:t>closest</w:t>
            </w:r>
            <w:r w:rsidRPr="00984CA7">
              <w:rPr>
                <w:rFonts w:ascii="Segoe UI" w:eastAsia="宋体" w:hAnsi="Segoe UI" w:cs="Segoe UI"/>
                <w:color w:val="333333"/>
                <w:kern w:val="0"/>
                <w:sz w:val="18"/>
                <w:szCs w:val="18"/>
              </w:rPr>
              <w:t xml:space="preserve"> to:</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72" type="#_x0000_t75" style="width:20.25pt;height:15.75pt" o:ole="">
                  <v:imagedata r:id="rId7" o:title=""/>
                </v:shape>
                <w:control r:id="rId108" w:name="DefaultOcxName53" w:shapeid="_x0000_i137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58%.</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71" type="#_x0000_t75" style="width:20.25pt;height:15.75pt" o:ole="">
                  <v:imagedata r:id="rId9" o:title=""/>
                </v:shape>
                <w:control r:id="rId109" w:name="DefaultOcxName133" w:shapeid="_x0000_i137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62%.</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70" type="#_x0000_t75" style="width:20.25pt;height:15.75pt" o:ole="">
                  <v:imagedata r:id="rId9" o:title=""/>
                </v:shape>
                <w:control r:id="rId110" w:name="DefaultOcxName233" w:shapeid="_x0000_i137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72%.</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9ACD32"/>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A</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"Non-Current (Long-Term) Liabilities," Elizabeth A. Gordon and Elaine Henry, CFA</w:t>
            </w:r>
            <w:r w:rsidRPr="00984CA7">
              <w:rPr>
                <w:rFonts w:ascii="Segoe UI" w:eastAsia="宋体" w:hAnsi="Segoe UI" w:cs="Segoe UI"/>
                <w:color w:val="333333"/>
                <w:kern w:val="0"/>
                <w:sz w:val="18"/>
                <w:szCs w:val="18"/>
              </w:rPr>
              <w:br/>
              <w:t>2011 Modular Level I, Vol. 3, p. 542</w:t>
            </w:r>
            <w:r w:rsidRPr="00984CA7">
              <w:rPr>
                <w:rFonts w:ascii="Segoe UI" w:eastAsia="宋体" w:hAnsi="Segoe UI" w:cs="Segoe UI"/>
                <w:color w:val="333333"/>
                <w:kern w:val="0"/>
                <w:sz w:val="18"/>
                <w:szCs w:val="18"/>
              </w:rPr>
              <w:br/>
              <w:t xml:space="preserve">"Financial Statement Analysis: Applications," Thomas R. Robinson, CFA, Jan </w:t>
            </w:r>
            <w:proofErr w:type="spellStart"/>
            <w:r w:rsidRPr="00984CA7">
              <w:rPr>
                <w:rFonts w:ascii="Segoe UI" w:eastAsia="宋体" w:hAnsi="Segoe UI" w:cs="Segoe UI"/>
                <w:color w:val="333333"/>
                <w:kern w:val="0"/>
                <w:sz w:val="18"/>
                <w:szCs w:val="18"/>
              </w:rPr>
              <w:t>Hendrik</w:t>
            </w:r>
            <w:proofErr w:type="spellEnd"/>
            <w:r w:rsidRPr="00984CA7">
              <w:rPr>
                <w:rFonts w:ascii="Segoe UI" w:eastAsia="宋体" w:hAnsi="Segoe UI" w:cs="Segoe UI"/>
                <w:color w:val="333333"/>
                <w:kern w:val="0"/>
                <w:sz w:val="18"/>
                <w:szCs w:val="18"/>
              </w:rPr>
              <w:t xml:space="preserve"> van </w:t>
            </w:r>
            <w:proofErr w:type="spellStart"/>
            <w:r w:rsidRPr="00984CA7">
              <w:rPr>
                <w:rFonts w:ascii="Segoe UI" w:eastAsia="宋体" w:hAnsi="Segoe UI" w:cs="Segoe UI"/>
                <w:color w:val="333333"/>
                <w:kern w:val="0"/>
                <w:sz w:val="18"/>
                <w:szCs w:val="18"/>
              </w:rPr>
              <w:t>Greuning</w:t>
            </w:r>
            <w:proofErr w:type="spellEnd"/>
            <w:r w:rsidRPr="00984CA7">
              <w:rPr>
                <w:rFonts w:ascii="Segoe UI" w:eastAsia="宋体" w:hAnsi="Segoe UI" w:cs="Segoe UI"/>
                <w:color w:val="333333"/>
                <w:kern w:val="0"/>
                <w:sz w:val="18"/>
                <w:szCs w:val="18"/>
              </w:rPr>
              <w:t xml:space="preserve">, CFA, Elaine Henry, CFA, and Michael A. </w:t>
            </w:r>
            <w:proofErr w:type="spellStart"/>
            <w:r w:rsidRPr="00984CA7">
              <w:rPr>
                <w:rFonts w:ascii="Segoe UI" w:eastAsia="宋体" w:hAnsi="Segoe UI" w:cs="Segoe UI"/>
                <w:color w:val="333333"/>
                <w:kern w:val="0"/>
                <w:sz w:val="18"/>
                <w:szCs w:val="18"/>
              </w:rPr>
              <w:t>Broihahn</w:t>
            </w:r>
            <w:proofErr w:type="spellEnd"/>
            <w:r w:rsidRPr="00984CA7">
              <w:rPr>
                <w:rFonts w:ascii="Segoe UI" w:eastAsia="宋体" w:hAnsi="Segoe UI" w:cs="Segoe UI"/>
                <w:color w:val="333333"/>
                <w:kern w:val="0"/>
                <w:sz w:val="18"/>
                <w:szCs w:val="18"/>
              </w:rPr>
              <w:t xml:space="preserve">, CFA </w:t>
            </w:r>
            <w:r w:rsidRPr="00984CA7">
              <w:rPr>
                <w:rFonts w:ascii="Segoe UI" w:eastAsia="宋体" w:hAnsi="Segoe UI" w:cs="Segoe UI"/>
                <w:color w:val="333333"/>
                <w:kern w:val="0"/>
                <w:sz w:val="18"/>
                <w:szCs w:val="18"/>
              </w:rPr>
              <w:br/>
              <w:t>2011 Modular Level I, Vol. 3, pp. 620–625</w:t>
            </w:r>
            <w:r w:rsidRPr="00984CA7">
              <w:rPr>
                <w:rFonts w:ascii="Segoe UI" w:eastAsia="宋体" w:hAnsi="Segoe UI" w:cs="Segoe UI"/>
                <w:color w:val="333333"/>
                <w:kern w:val="0"/>
                <w:sz w:val="18"/>
                <w:szCs w:val="18"/>
              </w:rPr>
              <w:br/>
              <w:t>Study Sessions 9–39–l, 10–42–e</w:t>
            </w:r>
            <w:r w:rsidRPr="00984CA7">
              <w:rPr>
                <w:rFonts w:ascii="Segoe UI" w:eastAsia="宋体" w:hAnsi="Segoe UI" w:cs="Segoe UI"/>
                <w:color w:val="333333"/>
                <w:kern w:val="0"/>
                <w:sz w:val="18"/>
                <w:szCs w:val="18"/>
              </w:rPr>
              <w:br/>
              <w:t>Calculate and interpret leverage and coverage ratios.</w:t>
            </w:r>
            <w:r w:rsidRPr="00984CA7">
              <w:rPr>
                <w:rFonts w:ascii="Segoe UI" w:eastAsia="宋体" w:hAnsi="Segoe UI" w:cs="Segoe UI"/>
                <w:color w:val="333333"/>
                <w:kern w:val="0"/>
                <w:sz w:val="18"/>
                <w:szCs w:val="18"/>
              </w:rPr>
              <w:br/>
              <w:t>Determine and justify appropriate analyst adjustments to a company's financial statements to facilitate comparison with another company.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The present value of the operating leases should be added to both the total debt and the total assets. To estimate the present value it is appropriate to estimate the number of years of lease payments reflected in the 2016 and thereafter figure. Based on the constant expense shown in the first 5 years, there are 9 (1,260 / 140) more payments for a total of 14 payments. The present value of an annuity due of $140 for 14 years at 10% = $1,134. [N = 14; I = 10; PMT = 140; Mode = Begin] </w:t>
            </w:r>
            <w:r w:rsidRPr="00984CA7">
              <w:rPr>
                <w:rFonts w:ascii="Segoe UI" w:eastAsia="宋体" w:hAnsi="Segoe UI" w:cs="Segoe UI"/>
                <w:color w:val="333333"/>
                <w:kern w:val="0"/>
                <w:sz w:val="18"/>
                <w:szCs w:val="18"/>
              </w:rPr>
              <w:br/>
              <w:t>Adjusted debt to total assets = (2,125 + 1,134) / (4,500 + 1,134) = 57.8%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696"/>
        <w:gridCol w:w="7037"/>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35</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Matrix pricing is a process in which a bond’s yield-to-maturity is determined from bonds currently available in the market that have similar attributes as the bond being considered. Matrix pricing is </w:t>
            </w:r>
            <w:r w:rsidRPr="00984CA7">
              <w:rPr>
                <w:rFonts w:ascii="Segoe UI" w:eastAsia="宋体" w:hAnsi="Segoe UI" w:cs="Segoe UI"/>
                <w:i/>
                <w:iCs/>
                <w:color w:val="333333"/>
                <w:kern w:val="0"/>
                <w:sz w:val="18"/>
                <w:szCs w:val="18"/>
              </w:rPr>
              <w:t>most similar</w:t>
            </w:r>
            <w:r w:rsidRPr="00984CA7">
              <w:rPr>
                <w:rFonts w:ascii="Segoe UI" w:eastAsia="宋体" w:hAnsi="Segoe UI" w:cs="Segoe UI"/>
                <w:color w:val="333333"/>
                <w:kern w:val="0"/>
                <w:sz w:val="18"/>
                <w:szCs w:val="18"/>
              </w:rPr>
              <w:t xml:space="preserve"> to the:</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81" type="#_x0000_t75" style="width:20.25pt;height:15.75pt" o:ole="">
                  <v:imagedata r:id="rId7" o:title=""/>
                </v:shape>
                <w:control r:id="rId111" w:name="DefaultOcxName54" w:shapeid="_x0000_i138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debt-rating approach only.</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80" type="#_x0000_t75" style="width:20.25pt;height:15.75pt" o:ole="">
                  <v:imagedata r:id="rId9" o:title=""/>
                </v:shape>
                <w:control r:id="rId112" w:name="DefaultOcxName134" w:shapeid="_x0000_i138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yield-to-maturity approach only.</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79" type="#_x0000_t75" style="width:20.25pt;height:15.75pt" o:ole="">
                  <v:imagedata r:id="rId9" o:title=""/>
                </v:shape>
                <w:control r:id="rId113" w:name="DefaultOcxName234" w:shapeid="_x0000_i137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yield-to-maturity approach and the debt-rating approach.</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9ACD32"/>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A</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"Cost of Capital," Yves </w:t>
            </w:r>
            <w:proofErr w:type="spellStart"/>
            <w:r w:rsidRPr="00984CA7">
              <w:rPr>
                <w:rFonts w:ascii="Segoe UI" w:eastAsia="宋体" w:hAnsi="Segoe UI" w:cs="Segoe UI"/>
                <w:color w:val="333333"/>
                <w:kern w:val="0"/>
                <w:sz w:val="18"/>
                <w:szCs w:val="18"/>
              </w:rPr>
              <w:t>Courtois</w:t>
            </w:r>
            <w:proofErr w:type="spellEnd"/>
            <w:r w:rsidRPr="00984CA7">
              <w:rPr>
                <w:rFonts w:ascii="Segoe UI" w:eastAsia="宋体" w:hAnsi="Segoe UI" w:cs="Segoe UI"/>
                <w:color w:val="333333"/>
                <w:kern w:val="0"/>
                <w:sz w:val="18"/>
                <w:szCs w:val="18"/>
              </w:rPr>
              <w:t>, CFA, Gene C. Lai, and Pamela Peterson Drake, CFA</w:t>
            </w:r>
            <w:r w:rsidRPr="00984CA7">
              <w:rPr>
                <w:rFonts w:ascii="Segoe UI" w:eastAsia="宋体" w:hAnsi="Segoe UI" w:cs="Segoe UI"/>
                <w:color w:val="333333"/>
                <w:kern w:val="0"/>
                <w:sz w:val="18"/>
                <w:szCs w:val="18"/>
              </w:rPr>
              <w:br/>
              <w:t>2011 Modular Level I, Vol. 4, pp. 47–49</w:t>
            </w:r>
            <w:r w:rsidRPr="00984CA7">
              <w:rPr>
                <w:rFonts w:ascii="Segoe UI" w:eastAsia="宋体" w:hAnsi="Segoe UI" w:cs="Segoe UI"/>
                <w:color w:val="333333"/>
                <w:kern w:val="0"/>
                <w:sz w:val="18"/>
                <w:szCs w:val="18"/>
              </w:rPr>
              <w:br/>
              <w:t>Study Session 11–45–f</w:t>
            </w:r>
            <w:r w:rsidRPr="00984CA7">
              <w:rPr>
                <w:rFonts w:ascii="Segoe UI" w:eastAsia="宋体" w:hAnsi="Segoe UI" w:cs="Segoe UI"/>
                <w:color w:val="333333"/>
                <w:kern w:val="0"/>
                <w:sz w:val="18"/>
                <w:szCs w:val="18"/>
              </w:rPr>
              <w:br/>
              <w:t>Calculate and interpret the cost of fixed-rate debt capital using the yield-to-maturity approach and the debt-rating approach.</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lastRenderedPageBreak/>
              <w:t>Matrix pricing (as described) is an example of the debt-rating approach only.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619"/>
        <w:gridCol w:w="7114"/>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36</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A company has an equity beta of 1.4 and is 60 percent funded with debt. Assuming a tax rate of 35 percent, the company’s asset beta is </w:t>
            </w:r>
            <w:r w:rsidRPr="00984CA7">
              <w:rPr>
                <w:rFonts w:ascii="Segoe UI" w:eastAsia="宋体" w:hAnsi="Segoe UI" w:cs="Segoe UI"/>
                <w:i/>
                <w:iCs/>
                <w:color w:val="333333"/>
                <w:kern w:val="0"/>
                <w:sz w:val="18"/>
                <w:szCs w:val="18"/>
              </w:rPr>
              <w:t>closest</w:t>
            </w:r>
            <w:r w:rsidRPr="00984CA7">
              <w:rPr>
                <w:rFonts w:ascii="Segoe UI" w:eastAsia="宋体" w:hAnsi="Segoe UI" w:cs="Segoe UI"/>
                <w:color w:val="333333"/>
                <w:kern w:val="0"/>
                <w:sz w:val="18"/>
                <w:szCs w:val="18"/>
              </w:rPr>
              <w:t xml:space="preserve"> to:</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90" type="#_x0000_t75" style="width:20.25pt;height:15.75pt" o:ole="">
                  <v:imagedata r:id="rId7" o:title=""/>
                </v:shape>
                <w:control r:id="rId114" w:name="DefaultOcxName55" w:shapeid="_x0000_i139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0.71.</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89" type="#_x0000_t75" style="width:20.25pt;height:15.75pt" o:ole="">
                  <v:imagedata r:id="rId9" o:title=""/>
                </v:shape>
                <w:control r:id="rId115" w:name="DefaultOcxName135" w:shapeid="_x0000_i138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0.98.</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88" type="#_x0000_t75" style="width:20.25pt;height:15.75pt" o:ole="">
                  <v:imagedata r:id="rId9" o:title=""/>
                </v:shape>
                <w:control r:id="rId116" w:name="DefaultOcxName235" w:shapeid="_x0000_i138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1.01.</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9ACD32"/>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A</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"Cost of Capital," Yves </w:t>
            </w:r>
            <w:proofErr w:type="spellStart"/>
            <w:r w:rsidRPr="00984CA7">
              <w:rPr>
                <w:rFonts w:ascii="Segoe UI" w:eastAsia="宋体" w:hAnsi="Segoe UI" w:cs="Segoe UI"/>
                <w:color w:val="333333"/>
                <w:kern w:val="0"/>
                <w:sz w:val="18"/>
                <w:szCs w:val="18"/>
              </w:rPr>
              <w:t>Courtois</w:t>
            </w:r>
            <w:proofErr w:type="spellEnd"/>
            <w:r w:rsidRPr="00984CA7">
              <w:rPr>
                <w:rFonts w:ascii="Segoe UI" w:eastAsia="宋体" w:hAnsi="Segoe UI" w:cs="Segoe UI"/>
                <w:color w:val="333333"/>
                <w:kern w:val="0"/>
                <w:sz w:val="18"/>
                <w:szCs w:val="18"/>
              </w:rPr>
              <w:t>, CFA, Gene C. Lai, and Pamela Peterson Drake, CFA</w:t>
            </w:r>
            <w:r w:rsidRPr="00984CA7">
              <w:rPr>
                <w:rFonts w:ascii="Segoe UI" w:eastAsia="宋体" w:hAnsi="Segoe UI" w:cs="Segoe UI"/>
                <w:color w:val="333333"/>
                <w:kern w:val="0"/>
                <w:sz w:val="18"/>
                <w:szCs w:val="18"/>
              </w:rPr>
              <w:br/>
              <w:t>2011 Modular Level I, Vol. 4, pp. 60–61</w:t>
            </w:r>
            <w:r w:rsidRPr="00984CA7">
              <w:rPr>
                <w:rFonts w:ascii="Segoe UI" w:eastAsia="宋体" w:hAnsi="Segoe UI" w:cs="Segoe UI"/>
                <w:color w:val="333333"/>
                <w:kern w:val="0"/>
                <w:sz w:val="18"/>
                <w:szCs w:val="18"/>
              </w:rPr>
              <w:br/>
              <w:t>Study Session 11–45–i</w:t>
            </w:r>
            <w:r w:rsidRPr="00984CA7">
              <w:rPr>
                <w:rFonts w:ascii="Segoe UI" w:eastAsia="宋体" w:hAnsi="Segoe UI" w:cs="Segoe UI"/>
                <w:color w:val="333333"/>
                <w:kern w:val="0"/>
                <w:sz w:val="18"/>
                <w:szCs w:val="18"/>
              </w:rPr>
              <w:br/>
              <w:t>Calculate and interpret the beta and cost of capital for a project.</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Note: (60% debt financing is equivalent to a D/E ratio of 1.50 = 0.60 / (1 – 0.60).</w:t>
            </w:r>
            <w:r w:rsidRPr="00984CA7">
              <w:rPr>
                <w:rFonts w:ascii="Segoe UI" w:eastAsia="宋体" w:hAnsi="Segoe UI" w:cs="Segoe UI"/>
                <w:color w:val="333333"/>
                <w:kern w:val="0"/>
                <w:sz w:val="18"/>
                <w:szCs w:val="18"/>
              </w:rPr>
              <w:br/>
            </w:r>
            <w:proofErr w:type="spellStart"/>
            <w:r w:rsidRPr="00984CA7">
              <w:rPr>
                <w:rFonts w:ascii="Segoe UI" w:eastAsia="宋体" w:hAnsi="Segoe UI" w:cs="Segoe UI"/>
                <w:color w:val="333333"/>
                <w:kern w:val="0"/>
                <w:sz w:val="18"/>
                <w:szCs w:val="18"/>
              </w:rPr>
              <w:t>β</w:t>
            </w:r>
            <w:r w:rsidRPr="00984CA7">
              <w:rPr>
                <w:rFonts w:ascii="Segoe UI" w:eastAsia="宋体" w:hAnsi="Segoe UI" w:cs="Segoe UI"/>
                <w:color w:val="333333"/>
                <w:kern w:val="0"/>
                <w:sz w:val="18"/>
                <w:szCs w:val="18"/>
                <w:vertAlign w:val="subscript"/>
              </w:rPr>
              <w:t>Assets</w:t>
            </w:r>
            <w:proofErr w:type="spellEnd"/>
            <w:r w:rsidRPr="00984CA7">
              <w:rPr>
                <w:rFonts w:ascii="Segoe UI" w:eastAsia="宋体" w:hAnsi="Segoe UI" w:cs="Segoe UI"/>
                <w:color w:val="333333"/>
                <w:kern w:val="0"/>
                <w:sz w:val="18"/>
                <w:szCs w:val="18"/>
              </w:rPr>
              <w:t xml:space="preserve"> = </w:t>
            </w:r>
            <w:proofErr w:type="spellStart"/>
            <w:r w:rsidRPr="00984CA7">
              <w:rPr>
                <w:rFonts w:ascii="Segoe UI" w:eastAsia="宋体" w:hAnsi="Segoe UI" w:cs="Segoe UI"/>
                <w:color w:val="333333"/>
                <w:kern w:val="0"/>
                <w:sz w:val="18"/>
                <w:szCs w:val="18"/>
              </w:rPr>
              <w:t>β</w:t>
            </w:r>
            <w:r w:rsidRPr="00984CA7">
              <w:rPr>
                <w:rFonts w:ascii="Segoe UI" w:eastAsia="宋体" w:hAnsi="Segoe UI" w:cs="Segoe UI"/>
                <w:color w:val="333333"/>
                <w:kern w:val="0"/>
                <w:sz w:val="18"/>
                <w:szCs w:val="18"/>
                <w:vertAlign w:val="subscript"/>
              </w:rPr>
              <w:t>EQ</w:t>
            </w:r>
            <w:proofErr w:type="spellEnd"/>
            <w:r w:rsidRPr="00984CA7">
              <w:rPr>
                <w:rFonts w:ascii="Segoe UI" w:eastAsia="宋体" w:hAnsi="Segoe UI" w:cs="Segoe UI"/>
                <w:color w:val="333333"/>
                <w:kern w:val="0"/>
                <w:sz w:val="18"/>
                <w:szCs w:val="18"/>
              </w:rPr>
              <w:t xml:space="preserve"> × [1 / (1 + (1 – </w:t>
            </w:r>
            <w:r w:rsidRPr="00984CA7">
              <w:rPr>
                <w:rFonts w:ascii="Segoe UI" w:eastAsia="宋体" w:hAnsi="Segoe UI" w:cs="Segoe UI"/>
                <w:i/>
                <w:iCs/>
                <w:color w:val="333333"/>
                <w:kern w:val="0"/>
                <w:sz w:val="18"/>
                <w:szCs w:val="18"/>
              </w:rPr>
              <w:t>t</w:t>
            </w:r>
            <w:r w:rsidRPr="00984CA7">
              <w:rPr>
                <w:rFonts w:ascii="Segoe UI" w:eastAsia="宋体" w:hAnsi="Segoe UI" w:cs="Segoe UI"/>
                <w:color w:val="333333"/>
                <w:kern w:val="0"/>
                <w:sz w:val="18"/>
                <w:szCs w:val="18"/>
              </w:rPr>
              <w:t>) D / E)] = 1.4 / (1 + (1 – 0.35) × 1.5) = 0.7089 =&gt; 0.71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643"/>
        <w:gridCol w:w="7072"/>
        <w:gridCol w:w="102"/>
        <w:gridCol w:w="102"/>
        <w:gridCol w:w="117"/>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37</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A company’s taxable income is 17.1 percent of sales. Assuming taxes of 42 percent and a dividend payout of 50 percent, the net profit margin is </w:t>
            </w:r>
            <w:r w:rsidRPr="00984CA7">
              <w:rPr>
                <w:rFonts w:ascii="Segoe UI" w:eastAsia="宋体" w:hAnsi="Segoe UI" w:cs="Segoe UI"/>
                <w:i/>
                <w:iCs/>
                <w:color w:val="333333"/>
                <w:kern w:val="0"/>
                <w:sz w:val="18"/>
                <w:szCs w:val="18"/>
              </w:rPr>
              <w:t>closest</w:t>
            </w:r>
            <w:r w:rsidRPr="00984CA7">
              <w:rPr>
                <w:rFonts w:ascii="Segoe UI" w:eastAsia="宋体" w:hAnsi="Segoe UI" w:cs="Segoe UI"/>
                <w:color w:val="333333"/>
                <w:kern w:val="0"/>
                <w:sz w:val="18"/>
                <w:szCs w:val="18"/>
              </w:rPr>
              <w:t xml:space="preserve"> to:</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99" type="#_x0000_t75" style="width:20.25pt;height:15.75pt" o:ole="">
                  <v:imagedata r:id="rId7" o:title=""/>
                </v:shape>
                <w:control r:id="rId117" w:name="DefaultOcxName56" w:shapeid="_x0000_i139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5.0%.</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98" type="#_x0000_t75" style="width:20.25pt;height:15.75pt" o:ole="">
                  <v:imagedata r:id="rId9" o:title=""/>
                </v:shape>
                <w:control r:id="rId118" w:name="DefaultOcxName136" w:shapeid="_x0000_i139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7.2%.</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397" type="#_x0000_t75" style="width:20.25pt;height:15.75pt" o:ole="">
                  <v:imagedata r:id="rId9" o:title=""/>
                </v:shape>
                <w:control r:id="rId119" w:name="DefaultOcxName236" w:shapeid="_x0000_i139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9.9%.</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FF6347"/>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incorrectly.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C</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"Financial Statement Analysis," Pamela Peterson Drake, CFA</w:t>
            </w:r>
            <w:r w:rsidRPr="00984CA7">
              <w:rPr>
                <w:rFonts w:ascii="Segoe UI" w:eastAsia="宋体" w:hAnsi="Segoe UI" w:cs="Segoe UI"/>
                <w:color w:val="333333"/>
                <w:kern w:val="0"/>
                <w:sz w:val="18"/>
                <w:szCs w:val="18"/>
              </w:rPr>
              <w:br/>
              <w:t>2011 Modular Level I, Vol. 4, pp. 217–225</w:t>
            </w:r>
            <w:r w:rsidRPr="00984CA7">
              <w:rPr>
                <w:rFonts w:ascii="Segoe UI" w:eastAsia="宋体" w:hAnsi="Segoe UI" w:cs="Segoe UI"/>
                <w:color w:val="333333"/>
                <w:kern w:val="0"/>
                <w:sz w:val="18"/>
                <w:szCs w:val="18"/>
              </w:rPr>
              <w:br/>
              <w:t>Study Session 11–49</w:t>
            </w:r>
            <w:r w:rsidRPr="00984CA7">
              <w:rPr>
                <w:rFonts w:ascii="Segoe UI" w:eastAsia="宋体" w:hAnsi="Segoe UI" w:cs="Segoe UI"/>
                <w:color w:val="333333"/>
                <w:kern w:val="0"/>
                <w:sz w:val="18"/>
                <w:szCs w:val="18"/>
              </w:rPr>
              <w:br/>
              <w:t>The candidate should be able to demonstrate the use of pro forma income and balance sheet statements.</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lastRenderedPageBreak/>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48"/>
              <w:gridCol w:w="4167"/>
            </w:tblGrid>
            <w:tr w:rsidR="00984CA7" w:rsidRPr="00984CA7">
              <w:trPr>
                <w:tblCellSpacing w:w="15" w:type="dxa"/>
              </w:trPr>
              <w:tc>
                <w:tcPr>
                  <w:tcW w:w="3990" w:type="dxa"/>
                  <w:tcBorders>
                    <w:top w:val="outset" w:sz="6" w:space="0" w:color="auto"/>
                    <w:left w:val="outset" w:sz="6" w:space="0" w:color="auto"/>
                    <w:bottom w:val="outset" w:sz="6" w:space="0" w:color="auto"/>
                    <w:right w:val="outset" w:sz="6" w:space="0" w:color="auto"/>
                  </w:tcBorders>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Net Profit Margin = Net Income / Sales = </w:t>
                  </w:r>
                </w:p>
              </w:tc>
              <w:tc>
                <w:tcPr>
                  <w:tcW w:w="444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Earnings Before Tax × (1 – Tax Rate) / Sales</w:t>
                  </w:r>
                </w:p>
              </w:tc>
            </w:tr>
            <w:tr w:rsidR="00984CA7" w:rsidRPr="00984CA7">
              <w:trPr>
                <w:tblCellSpacing w:w="15" w:type="dxa"/>
              </w:trPr>
              <w:tc>
                <w:tcPr>
                  <w:tcW w:w="3990" w:type="dxa"/>
                  <w:tcBorders>
                    <w:top w:val="outset" w:sz="6" w:space="0" w:color="auto"/>
                    <w:left w:val="outset" w:sz="6" w:space="0" w:color="auto"/>
                    <w:bottom w:val="outset" w:sz="6" w:space="0" w:color="auto"/>
                    <w:right w:val="outset" w:sz="6" w:space="0" w:color="auto"/>
                  </w:tcBorders>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w:t>
                  </w:r>
                </w:p>
              </w:tc>
              <w:tc>
                <w:tcPr>
                  <w:tcW w:w="444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0.171 × Sales × (1 – 0.42) / Sales = 9.92%</w:t>
                  </w:r>
                </w:p>
              </w:tc>
            </w:tr>
          </w:tbl>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669"/>
        <w:gridCol w:w="7064"/>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38</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A project has the following annual cash flows:</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46"/>
              <w:gridCol w:w="1589"/>
              <w:gridCol w:w="1545"/>
              <w:gridCol w:w="1479"/>
              <w:gridCol w:w="1626"/>
            </w:tblGrid>
            <w:tr w:rsidR="00984CA7" w:rsidRPr="00984CA7">
              <w:trPr>
                <w:tblCellSpacing w:w="15"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Year 0</w:t>
                  </w:r>
                </w:p>
              </w:tc>
              <w:tc>
                <w:tcPr>
                  <w:tcW w:w="106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Year 1</w:t>
                  </w:r>
                </w:p>
              </w:tc>
              <w:tc>
                <w:tcPr>
                  <w:tcW w:w="103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Year 2</w:t>
                  </w:r>
                </w:p>
              </w:tc>
              <w:tc>
                <w:tcPr>
                  <w:tcW w:w="9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Year 3</w:t>
                  </w:r>
                </w:p>
              </w:tc>
              <w:tc>
                <w:tcPr>
                  <w:tcW w:w="108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Year 4</w:t>
                  </w:r>
                </w:p>
              </w:tc>
            </w:tr>
            <w:tr w:rsidR="00984CA7" w:rsidRPr="00984CA7">
              <w:trPr>
                <w:tblCellSpacing w:w="15"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–$75,000</w:t>
                  </w:r>
                </w:p>
              </w:tc>
              <w:tc>
                <w:tcPr>
                  <w:tcW w:w="106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$21,600</w:t>
                  </w:r>
                </w:p>
              </w:tc>
              <w:tc>
                <w:tcPr>
                  <w:tcW w:w="103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$23,328</w:t>
                  </w:r>
                </w:p>
              </w:tc>
              <w:tc>
                <w:tcPr>
                  <w:tcW w:w="9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$37,791</w:t>
                  </w:r>
                </w:p>
              </w:tc>
              <w:tc>
                <w:tcPr>
                  <w:tcW w:w="108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$40,815</w:t>
                  </w:r>
                </w:p>
              </w:tc>
            </w:tr>
          </w:tbl>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br/>
              <w:t xml:space="preserve">With a discount rate of 8 percent, the discounted payback period (in years) is </w:t>
            </w:r>
            <w:r w:rsidRPr="00984CA7">
              <w:rPr>
                <w:rFonts w:ascii="Segoe UI" w:eastAsia="宋体" w:hAnsi="Segoe UI" w:cs="Segoe UI"/>
                <w:i/>
                <w:iCs/>
                <w:color w:val="333333"/>
                <w:kern w:val="0"/>
                <w:sz w:val="18"/>
                <w:szCs w:val="18"/>
              </w:rPr>
              <w:t>closest</w:t>
            </w:r>
            <w:r w:rsidRPr="00984CA7">
              <w:rPr>
                <w:rFonts w:ascii="Segoe UI" w:eastAsia="宋体" w:hAnsi="Segoe UI" w:cs="Segoe UI"/>
                <w:color w:val="333333"/>
                <w:kern w:val="0"/>
                <w:sz w:val="18"/>
                <w:szCs w:val="18"/>
              </w:rPr>
              <w:t xml:space="preserve"> to:</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08" type="#_x0000_t75" style="width:20.25pt;height:15.75pt" o:ole="">
                  <v:imagedata r:id="rId7" o:title=""/>
                </v:shape>
                <w:control r:id="rId120" w:name="DefaultOcxName57" w:shapeid="_x0000_i140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2.8.</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07" type="#_x0000_t75" style="width:20.25pt;height:15.75pt" o:ole="">
                  <v:imagedata r:id="rId9" o:title=""/>
                </v:shape>
                <w:control r:id="rId121" w:name="DefaultOcxName137" w:shapeid="_x0000_i140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3.2.</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06" type="#_x0000_t75" style="width:20.25pt;height:15.75pt" o:ole="">
                  <v:imagedata r:id="rId9" o:title=""/>
                </v:shape>
                <w:control r:id="rId122" w:name="DefaultOcxName237" w:shapeid="_x0000_i140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4.0.</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FF6347"/>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incorrectly.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B</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"Capital Budgeting," John D. Stowe, CFA, and Jacques R. Gagne, CFA</w:t>
            </w:r>
            <w:r w:rsidRPr="00984CA7">
              <w:rPr>
                <w:rFonts w:ascii="Segoe UI" w:eastAsia="宋体" w:hAnsi="Segoe UI" w:cs="Segoe UI"/>
                <w:color w:val="333333"/>
                <w:kern w:val="0"/>
                <w:sz w:val="18"/>
                <w:szCs w:val="18"/>
              </w:rPr>
              <w:br/>
              <w:t>2011 Modular Level I, Vol. 4, p. 15</w:t>
            </w:r>
            <w:r w:rsidRPr="00984CA7">
              <w:rPr>
                <w:rFonts w:ascii="Segoe UI" w:eastAsia="宋体" w:hAnsi="Segoe UI" w:cs="Segoe UI"/>
                <w:color w:val="333333"/>
                <w:kern w:val="0"/>
                <w:sz w:val="18"/>
                <w:szCs w:val="18"/>
              </w:rPr>
              <w:br/>
              <w:t>Study Session 11–44–d</w:t>
            </w:r>
            <w:r w:rsidRPr="00984CA7">
              <w:rPr>
                <w:rFonts w:ascii="Segoe UI" w:eastAsia="宋体" w:hAnsi="Segoe UI" w:cs="Segoe UI"/>
                <w:color w:val="333333"/>
                <w:kern w:val="0"/>
                <w:sz w:val="18"/>
                <w:szCs w:val="18"/>
              </w:rPr>
              <w:br/>
              <w:t>Calculate and interpret the results using each of the following methods to evaluate a single capital project: net present value (NPV), internal rate of return (IRR), payback period, discounted payback period, and profitability index (PI).</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6"/>
              <w:gridCol w:w="1926"/>
              <w:gridCol w:w="2707"/>
              <w:gridCol w:w="2406"/>
            </w:tblGrid>
            <w:tr w:rsidR="00984CA7" w:rsidRPr="00984CA7">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Year</w:t>
                  </w:r>
                </w:p>
              </w:tc>
              <w:tc>
                <w:tcPr>
                  <w:tcW w:w="171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Cash Flow</w:t>
                  </w:r>
                </w:p>
              </w:tc>
              <w:tc>
                <w:tcPr>
                  <w:tcW w:w="241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PV (Cash Flow) @ 8%</w:t>
                  </w:r>
                </w:p>
              </w:tc>
              <w:tc>
                <w:tcPr>
                  <w:tcW w:w="19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Amount to Pay</w:t>
                  </w:r>
                  <w:r w:rsidRPr="00984CA7">
                    <w:rPr>
                      <w:rFonts w:ascii="Segoe UI" w:eastAsia="宋体" w:hAnsi="Segoe UI" w:cs="Segoe UI"/>
                      <w:b/>
                      <w:bCs/>
                      <w:color w:val="333333"/>
                      <w:kern w:val="0"/>
                      <w:sz w:val="18"/>
                      <w:szCs w:val="18"/>
                    </w:rPr>
                    <w:br/>
                    <w:t>Back</w:t>
                  </w:r>
                </w:p>
              </w:tc>
            </w:tr>
            <w:tr w:rsidR="00984CA7" w:rsidRPr="00984CA7">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0</w:t>
                  </w:r>
                </w:p>
              </w:tc>
              <w:tc>
                <w:tcPr>
                  <w:tcW w:w="171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–75,000   </w:t>
                  </w:r>
                </w:p>
              </w:tc>
              <w:tc>
                <w:tcPr>
                  <w:tcW w:w="241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–75,000  </w:t>
                  </w:r>
                </w:p>
              </w:tc>
              <w:tc>
                <w:tcPr>
                  <w:tcW w:w="19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75,000</w:t>
                  </w:r>
                </w:p>
              </w:tc>
            </w:tr>
            <w:tr w:rsidR="00984CA7" w:rsidRPr="00984CA7">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w:t>
                  </w:r>
                </w:p>
              </w:tc>
              <w:tc>
                <w:tcPr>
                  <w:tcW w:w="171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21,600  </w:t>
                  </w:r>
                </w:p>
              </w:tc>
              <w:tc>
                <w:tcPr>
                  <w:tcW w:w="241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20,000</w:t>
                  </w:r>
                </w:p>
              </w:tc>
              <w:tc>
                <w:tcPr>
                  <w:tcW w:w="19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55,000</w:t>
                  </w:r>
                </w:p>
              </w:tc>
            </w:tr>
            <w:tr w:rsidR="00984CA7" w:rsidRPr="00984CA7">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w:t>
                  </w:r>
                </w:p>
              </w:tc>
              <w:tc>
                <w:tcPr>
                  <w:tcW w:w="171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23,328*</w:t>
                  </w:r>
                </w:p>
              </w:tc>
              <w:tc>
                <w:tcPr>
                  <w:tcW w:w="241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20,000</w:t>
                  </w:r>
                </w:p>
              </w:tc>
              <w:tc>
                <w:tcPr>
                  <w:tcW w:w="19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35,000</w:t>
                  </w:r>
                </w:p>
              </w:tc>
            </w:tr>
            <w:tr w:rsidR="00984CA7" w:rsidRPr="00984CA7">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3</w:t>
                  </w:r>
                </w:p>
              </w:tc>
              <w:tc>
                <w:tcPr>
                  <w:tcW w:w="171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37,791  </w:t>
                  </w:r>
                </w:p>
              </w:tc>
              <w:tc>
                <w:tcPr>
                  <w:tcW w:w="241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30,000</w:t>
                  </w:r>
                </w:p>
              </w:tc>
              <w:tc>
                <w:tcPr>
                  <w:tcW w:w="19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5,000</w:t>
                  </w:r>
                </w:p>
              </w:tc>
            </w:tr>
            <w:tr w:rsidR="00984CA7" w:rsidRPr="00984CA7">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4</w:t>
                  </w:r>
                </w:p>
              </w:tc>
              <w:tc>
                <w:tcPr>
                  <w:tcW w:w="171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40,814  </w:t>
                  </w:r>
                </w:p>
              </w:tc>
              <w:tc>
                <w:tcPr>
                  <w:tcW w:w="241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30,000</w:t>
                  </w:r>
                </w:p>
              </w:tc>
              <w:tc>
                <w:tcPr>
                  <w:tcW w:w="19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r>
            <w:tr w:rsidR="00984CA7" w:rsidRPr="00984CA7">
              <w:trPr>
                <w:tblCellSpacing w:w="15" w:type="dxa"/>
              </w:trPr>
              <w:tc>
                <w:tcPr>
                  <w:tcW w:w="7095" w:type="dxa"/>
                  <w:gridSpan w:val="4"/>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lastRenderedPageBreak/>
                    <w:t xml:space="preserve">The first three cash flows recover $70,000 (in present value terms) of the cost, making only $5,000 of the $30,000 in Year 4 necessary to completely recover the cost. Therefore, the discounted payback is 3.2 years. </w:t>
                  </w:r>
                </w:p>
              </w:tc>
            </w:tr>
            <w:tr w:rsidR="00984CA7" w:rsidRPr="00984CA7">
              <w:trPr>
                <w:tblCellSpacing w:w="15" w:type="dxa"/>
              </w:trPr>
              <w:tc>
                <w:tcPr>
                  <w:tcW w:w="7095" w:type="dxa"/>
                  <w:gridSpan w:val="4"/>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For example: PV of Year 2's cash flow is $23,328 / [1.08]</w:t>
                  </w:r>
                  <w:r w:rsidRPr="00984CA7">
                    <w:rPr>
                      <w:rFonts w:ascii="Segoe UI" w:eastAsia="宋体" w:hAnsi="Segoe UI" w:cs="Segoe UI"/>
                      <w:color w:val="333333"/>
                      <w:kern w:val="0"/>
                      <w:sz w:val="18"/>
                      <w:szCs w:val="18"/>
                      <w:vertAlign w:val="superscript"/>
                    </w:rPr>
                    <w:t>2</w:t>
                  </w:r>
                </w:p>
              </w:tc>
            </w:tr>
          </w:tbl>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559"/>
        <w:gridCol w:w="7174"/>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39</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spacing w:after="240"/>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Review the following income statement:</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89"/>
              <w:gridCol w:w="2696"/>
            </w:tblGrid>
            <w:tr w:rsidR="00984CA7" w:rsidRPr="00984CA7">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117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spacing w:before="225" w:after="225" w:line="300" w:lineRule="auto"/>
                    <w:ind w:left="225" w:right="225"/>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 million</w:t>
                  </w:r>
                </w:p>
              </w:tc>
            </w:tr>
            <w:tr w:rsidR="00984CA7" w:rsidRPr="00984CA7">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Revenues</w:t>
                  </w:r>
                </w:p>
              </w:tc>
              <w:tc>
                <w:tcPr>
                  <w:tcW w:w="117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10.2</w:t>
                  </w:r>
                </w:p>
              </w:tc>
            </w:tr>
            <w:tr w:rsidR="00984CA7" w:rsidRPr="00984CA7">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Variable Operating Costs</w:t>
                  </w:r>
                </w:p>
              </w:tc>
              <w:tc>
                <w:tcPr>
                  <w:tcW w:w="117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4.6</w:t>
                  </w:r>
                </w:p>
              </w:tc>
            </w:tr>
            <w:tr w:rsidR="00984CA7" w:rsidRPr="00984CA7">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u w:val="single"/>
                    </w:rPr>
                    <w:t>Fixed Operating Costs</w:t>
                  </w:r>
                </w:p>
              </w:tc>
              <w:tc>
                <w:tcPr>
                  <w:tcW w:w="117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u w:val="single"/>
                    </w:rPr>
                    <w:t>2.0</w:t>
                  </w:r>
                </w:p>
              </w:tc>
            </w:tr>
            <w:tr w:rsidR="00984CA7" w:rsidRPr="00984CA7">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Operating Income</w:t>
                  </w:r>
                </w:p>
              </w:tc>
              <w:tc>
                <w:tcPr>
                  <w:tcW w:w="117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3.6</w:t>
                  </w:r>
                </w:p>
              </w:tc>
            </w:tr>
            <w:tr w:rsidR="00984CA7" w:rsidRPr="00984CA7">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u w:val="single"/>
                    </w:rPr>
                    <w:t>Interest</w:t>
                  </w:r>
                </w:p>
              </w:tc>
              <w:tc>
                <w:tcPr>
                  <w:tcW w:w="117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u w:val="single"/>
                    </w:rPr>
                    <w:t>1.2</w:t>
                  </w:r>
                </w:p>
              </w:tc>
            </w:tr>
            <w:tr w:rsidR="00984CA7" w:rsidRPr="00984CA7">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Taxable Income</w:t>
                  </w:r>
                </w:p>
              </w:tc>
              <w:tc>
                <w:tcPr>
                  <w:tcW w:w="117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2.4</w:t>
                  </w:r>
                </w:p>
              </w:tc>
            </w:tr>
            <w:tr w:rsidR="00984CA7" w:rsidRPr="00984CA7">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u w:val="single"/>
                    </w:rPr>
                    <w:t>Tax</w:t>
                  </w:r>
                </w:p>
              </w:tc>
              <w:tc>
                <w:tcPr>
                  <w:tcW w:w="117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u w:val="single"/>
                    </w:rPr>
                    <w:t>1.0</w:t>
                  </w:r>
                </w:p>
              </w:tc>
            </w:tr>
            <w:tr w:rsidR="00984CA7" w:rsidRPr="00984CA7">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Net Income</w:t>
                  </w:r>
                </w:p>
              </w:tc>
              <w:tc>
                <w:tcPr>
                  <w:tcW w:w="117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1.4</w:t>
                  </w:r>
                </w:p>
              </w:tc>
            </w:tr>
          </w:tbl>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br/>
              <w:t xml:space="preserve">The firm’s degree of financial leverage is </w:t>
            </w:r>
            <w:r w:rsidRPr="00984CA7">
              <w:rPr>
                <w:rFonts w:ascii="Segoe UI" w:eastAsia="宋体" w:hAnsi="Segoe UI" w:cs="Segoe UI"/>
                <w:i/>
                <w:iCs/>
                <w:color w:val="333333"/>
                <w:kern w:val="0"/>
                <w:sz w:val="18"/>
                <w:szCs w:val="18"/>
              </w:rPr>
              <w:t>closest</w:t>
            </w:r>
            <w:r w:rsidRPr="00984CA7">
              <w:rPr>
                <w:rFonts w:ascii="Segoe UI" w:eastAsia="宋体" w:hAnsi="Segoe UI" w:cs="Segoe UI"/>
                <w:color w:val="333333"/>
                <w:kern w:val="0"/>
                <w:sz w:val="18"/>
                <w:szCs w:val="18"/>
              </w:rPr>
              <w:t xml:space="preserve"> to:</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17" type="#_x0000_t75" style="width:20.25pt;height:15.75pt" o:ole="">
                  <v:imagedata r:id="rId7" o:title=""/>
                </v:shape>
                <w:control r:id="rId123" w:name="DefaultOcxName58" w:shapeid="_x0000_i141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1.5.</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16" type="#_x0000_t75" style="width:20.25pt;height:15.75pt" o:ole="">
                  <v:imagedata r:id="rId9" o:title=""/>
                </v:shape>
                <w:control r:id="rId124" w:name="DefaultOcxName138" w:shapeid="_x0000_i141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1.7.</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15" type="#_x0000_t75" style="width:20.25pt;height:15.75pt" o:ole="">
                  <v:imagedata r:id="rId9" o:title=""/>
                </v:shape>
                <w:control r:id="rId125" w:name="DefaultOcxName238" w:shapeid="_x0000_i141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2.6.</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9ACD32"/>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A</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"Measures of Leverage," Pamela Peterson Drake, CFA, Raj </w:t>
            </w:r>
            <w:proofErr w:type="spellStart"/>
            <w:r w:rsidRPr="00984CA7">
              <w:rPr>
                <w:rFonts w:ascii="Segoe UI" w:eastAsia="宋体" w:hAnsi="Segoe UI" w:cs="Segoe UI"/>
                <w:color w:val="333333"/>
                <w:kern w:val="0"/>
                <w:sz w:val="18"/>
                <w:szCs w:val="18"/>
              </w:rPr>
              <w:t>Aggarwal</w:t>
            </w:r>
            <w:proofErr w:type="spellEnd"/>
            <w:r w:rsidRPr="00984CA7">
              <w:rPr>
                <w:rFonts w:ascii="Segoe UI" w:eastAsia="宋体" w:hAnsi="Segoe UI" w:cs="Segoe UI"/>
                <w:color w:val="333333"/>
                <w:kern w:val="0"/>
                <w:sz w:val="18"/>
                <w:szCs w:val="18"/>
              </w:rPr>
              <w:t xml:space="preserve">, CFA, Cynthia Harrington, CFA, and Adam </w:t>
            </w:r>
            <w:proofErr w:type="spellStart"/>
            <w:r w:rsidRPr="00984CA7">
              <w:rPr>
                <w:rFonts w:ascii="Segoe UI" w:eastAsia="宋体" w:hAnsi="Segoe UI" w:cs="Segoe UI"/>
                <w:color w:val="333333"/>
                <w:kern w:val="0"/>
                <w:sz w:val="18"/>
                <w:szCs w:val="18"/>
              </w:rPr>
              <w:t>Kobor</w:t>
            </w:r>
            <w:proofErr w:type="spellEnd"/>
            <w:r w:rsidRPr="00984CA7">
              <w:rPr>
                <w:rFonts w:ascii="Segoe UI" w:eastAsia="宋体" w:hAnsi="Segoe UI" w:cs="Segoe UI"/>
                <w:color w:val="333333"/>
                <w:kern w:val="0"/>
                <w:sz w:val="18"/>
                <w:szCs w:val="18"/>
              </w:rPr>
              <w:t>, CFA</w:t>
            </w:r>
            <w:r w:rsidRPr="00984CA7">
              <w:rPr>
                <w:rFonts w:ascii="Segoe UI" w:eastAsia="宋体" w:hAnsi="Segoe UI" w:cs="Segoe UI"/>
                <w:color w:val="333333"/>
                <w:kern w:val="0"/>
                <w:sz w:val="18"/>
                <w:szCs w:val="18"/>
              </w:rPr>
              <w:br/>
              <w:t>2011 Modular Level I, Vol. 4, pp. 103–105</w:t>
            </w:r>
            <w:r w:rsidRPr="00984CA7">
              <w:rPr>
                <w:rFonts w:ascii="Segoe UI" w:eastAsia="宋体" w:hAnsi="Segoe UI" w:cs="Segoe UI"/>
                <w:color w:val="333333"/>
                <w:kern w:val="0"/>
                <w:sz w:val="18"/>
                <w:szCs w:val="18"/>
              </w:rPr>
              <w:br/>
              <w:t>Study Session 11–46–b</w:t>
            </w:r>
            <w:r w:rsidRPr="00984CA7">
              <w:rPr>
                <w:rFonts w:ascii="Segoe UI" w:eastAsia="宋体" w:hAnsi="Segoe UI" w:cs="Segoe UI"/>
                <w:color w:val="333333"/>
                <w:kern w:val="0"/>
                <w:sz w:val="18"/>
                <w:szCs w:val="18"/>
              </w:rPr>
              <w:br/>
              <w:t>Calculate and interpret the degree of operating leverage, the degree of financial leverage, and the degree of total leverage.</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r>
          </w:p>
          <w:tbl>
            <w:tblPr>
              <w:tblpPr w:leftFromText="45" w:rightFromText="45" w:vertAnchor="text"/>
              <w:tblW w:w="5000" w:type="pct"/>
              <w:tblCellSpacing w:w="15" w:type="dxa"/>
              <w:tblCellMar>
                <w:top w:w="15" w:type="dxa"/>
                <w:left w:w="15" w:type="dxa"/>
                <w:bottom w:w="15" w:type="dxa"/>
                <w:right w:w="15" w:type="dxa"/>
              </w:tblCellMar>
              <w:tblLook w:val="04A0"/>
            </w:tblPr>
            <w:tblGrid>
              <w:gridCol w:w="859"/>
              <w:gridCol w:w="7072"/>
            </w:tblGrid>
            <w:tr w:rsidR="00984CA7" w:rsidRPr="00984CA7">
              <w:trPr>
                <w:tblCellSpacing w:w="15" w:type="dxa"/>
              </w:trPr>
              <w:tc>
                <w:tcPr>
                  <w:tcW w:w="780" w:type="dxa"/>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lastRenderedPageBreak/>
                    <w:t xml:space="preserve">DFL = </w:t>
                  </w:r>
                </w:p>
              </w:tc>
              <w:tc>
                <w:tcPr>
                  <w:tcW w:w="673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(Operating Income) / (Operating Income – Interest Expense)  </w:t>
                  </w:r>
                </w:p>
              </w:tc>
            </w:tr>
            <w:tr w:rsidR="00984CA7" w:rsidRPr="00984CA7">
              <w:trPr>
                <w:tblCellSpacing w:w="15" w:type="dxa"/>
              </w:trPr>
              <w:tc>
                <w:tcPr>
                  <w:tcW w:w="780" w:type="dxa"/>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673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or operating income divided by pretax earnings</w:t>
                  </w:r>
                </w:p>
              </w:tc>
            </w:tr>
            <w:tr w:rsidR="00984CA7" w:rsidRPr="00984CA7">
              <w:trPr>
                <w:tblCellSpacing w:w="15" w:type="dxa"/>
              </w:trPr>
              <w:tc>
                <w:tcPr>
                  <w:tcW w:w="780" w:type="dxa"/>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w:t>
                  </w:r>
                </w:p>
              </w:tc>
              <w:tc>
                <w:tcPr>
                  <w:tcW w:w="673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u w:val="single"/>
                    </w:rPr>
                    <w:t>($2.4 + $1.2)</w:t>
                  </w:r>
                </w:p>
              </w:tc>
            </w:tr>
            <w:tr w:rsidR="00984CA7" w:rsidRPr="00984CA7">
              <w:trPr>
                <w:tblCellSpacing w:w="15" w:type="dxa"/>
              </w:trPr>
              <w:tc>
                <w:tcPr>
                  <w:tcW w:w="780" w:type="dxa"/>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673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$2.4</w:t>
                  </w:r>
                </w:p>
              </w:tc>
            </w:tr>
            <w:tr w:rsidR="00984CA7" w:rsidRPr="00984CA7">
              <w:trPr>
                <w:tblCellSpacing w:w="15" w:type="dxa"/>
              </w:trPr>
              <w:tc>
                <w:tcPr>
                  <w:tcW w:w="780" w:type="dxa"/>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w:t>
                  </w:r>
                </w:p>
              </w:tc>
              <w:tc>
                <w:tcPr>
                  <w:tcW w:w="673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1.50</w:t>
                  </w:r>
                </w:p>
              </w:tc>
            </w:tr>
          </w:tbl>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715"/>
        <w:gridCol w:w="7018"/>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40</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The index weighting that results in portfolio weights shifting away from securities that have increased in relative value toward securities that have fallen in relative value whenever the portfolio is rebalanced is </w:t>
            </w:r>
            <w:r w:rsidRPr="00984CA7">
              <w:rPr>
                <w:rFonts w:ascii="Segoe UI" w:eastAsia="宋体" w:hAnsi="Segoe UI" w:cs="Segoe UI"/>
                <w:i/>
                <w:iCs/>
                <w:color w:val="333333"/>
                <w:kern w:val="0"/>
                <w:sz w:val="18"/>
                <w:szCs w:val="18"/>
              </w:rPr>
              <w:t>most accurately</w:t>
            </w:r>
            <w:r w:rsidRPr="00984CA7">
              <w:rPr>
                <w:rFonts w:ascii="Segoe UI" w:eastAsia="宋体" w:hAnsi="Segoe UI" w:cs="Segoe UI"/>
                <w:color w:val="333333"/>
                <w:kern w:val="0"/>
                <w:sz w:val="18"/>
                <w:szCs w:val="18"/>
              </w:rPr>
              <w:t xml:space="preserve"> described as:</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26" type="#_x0000_t75" style="width:20.25pt;height:15.75pt" o:ole="">
                  <v:imagedata r:id="rId7" o:title=""/>
                </v:shape>
                <w:control r:id="rId126" w:name="DefaultOcxName59" w:shapeid="_x0000_i142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equal weighting.</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25" type="#_x0000_t75" style="width:20.25pt;height:15.75pt" o:ole="">
                  <v:imagedata r:id="rId9" o:title=""/>
                </v:shape>
                <w:control r:id="rId127" w:name="DefaultOcxName139" w:shapeid="_x0000_i142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fundamental weighting.</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24" type="#_x0000_t75" style="width:20.25pt;height:15.75pt" o:ole="">
                  <v:imagedata r:id="rId9" o:title=""/>
                </v:shape>
                <w:control r:id="rId128" w:name="DefaultOcxName239" w:shapeid="_x0000_i142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float-adjusted market-capitalization weighting.</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FF6347"/>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incorrectly.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B</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"Security-Market Indices," Paul D. Kaplan, CFA, and Dorothy C. Kelly, CFA </w:t>
            </w:r>
            <w:r w:rsidRPr="00984CA7">
              <w:rPr>
                <w:rFonts w:ascii="Segoe UI" w:eastAsia="宋体" w:hAnsi="Segoe UI" w:cs="Segoe UI"/>
                <w:color w:val="333333"/>
                <w:kern w:val="0"/>
                <w:sz w:val="18"/>
                <w:szCs w:val="18"/>
              </w:rPr>
              <w:br/>
              <w:t>2011 Modular Level I, Vol. 5, p. 98</w:t>
            </w:r>
            <w:r w:rsidRPr="00984CA7">
              <w:rPr>
                <w:rFonts w:ascii="Segoe UI" w:eastAsia="宋体" w:hAnsi="Segoe UI" w:cs="Segoe UI"/>
                <w:color w:val="333333"/>
                <w:kern w:val="0"/>
                <w:sz w:val="18"/>
                <w:szCs w:val="18"/>
              </w:rPr>
              <w:br/>
              <w:t>Study Session 13–56–d, f</w:t>
            </w:r>
            <w:r w:rsidRPr="00984CA7">
              <w:rPr>
                <w:rFonts w:ascii="Segoe UI" w:eastAsia="宋体" w:hAnsi="Segoe UI" w:cs="Segoe UI"/>
                <w:color w:val="333333"/>
                <w:kern w:val="0"/>
                <w:sz w:val="18"/>
                <w:szCs w:val="18"/>
              </w:rPr>
              <w:br/>
              <w:t>Compare and contrast the different weighting methods used in index construction.</w:t>
            </w:r>
            <w:r w:rsidRPr="00984CA7">
              <w:rPr>
                <w:rFonts w:ascii="Segoe UI" w:eastAsia="宋体" w:hAnsi="Segoe UI" w:cs="Segoe UI"/>
                <w:color w:val="333333"/>
                <w:kern w:val="0"/>
                <w:sz w:val="18"/>
                <w:szCs w:val="18"/>
              </w:rPr>
              <w:br/>
              <w:t>Discuss rebalancing and reconstitution.</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Fundamentally weighted indices generally will have a contrarian "effect" in that the portfolio weights will shift away from securities that have increased in relative value and toward securities that have fallen in relative value whenever the portfolio is rebalanced.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759"/>
        <w:gridCol w:w="6974"/>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41</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According to the industry life-cycle model, an industry in the shakeout stage is </w:t>
            </w:r>
            <w:r w:rsidRPr="00984CA7">
              <w:rPr>
                <w:rFonts w:ascii="Segoe UI" w:eastAsia="宋体" w:hAnsi="Segoe UI" w:cs="Segoe UI"/>
                <w:i/>
                <w:iCs/>
                <w:color w:val="333333"/>
                <w:kern w:val="0"/>
                <w:sz w:val="18"/>
                <w:szCs w:val="18"/>
              </w:rPr>
              <w:t>best</w:t>
            </w:r>
            <w:r w:rsidRPr="00984CA7">
              <w:rPr>
                <w:rFonts w:ascii="Segoe UI" w:eastAsia="宋体" w:hAnsi="Segoe UI" w:cs="Segoe UI"/>
                <w:color w:val="333333"/>
                <w:kern w:val="0"/>
                <w:sz w:val="18"/>
                <w:szCs w:val="18"/>
              </w:rPr>
              <w:t xml:space="preserve"> characterized as experiencing:</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35" type="#_x0000_t75" style="width:20.25pt;height:15.75pt" o:ole="">
                  <v:imagedata r:id="rId7" o:title=""/>
                </v:shape>
                <w:control r:id="rId129" w:name="DefaultOcxName60" w:shapeid="_x0000_i143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increasing demand but falling prices.</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34" type="#_x0000_t75" style="width:20.25pt;height:15.75pt" o:ole="">
                  <v:imagedata r:id="rId9" o:title=""/>
                </v:shape>
                <w:control r:id="rId130" w:name="DefaultOcxName140" w:shapeid="_x0000_i143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slowing growth and intense competition.</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33" type="#_x0000_t75" style="width:20.25pt;height:15.75pt" o:ole="">
                  <v:imagedata r:id="rId9" o:title=""/>
                </v:shape>
                <w:control r:id="rId131" w:name="DefaultOcxName240" w:shapeid="_x0000_i143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little or no growth and industry consolidation.</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lastRenderedPageBreak/>
              <w:t> </w:t>
            </w:r>
          </w:p>
        </w:tc>
        <w:tc>
          <w:tcPr>
            <w:tcW w:w="0" w:type="auto"/>
            <w:gridSpan w:val="5"/>
            <w:shd w:val="clear" w:color="auto" w:fill="FF6347"/>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incorrectly.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B</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"Introduction to Industry and Company Analysis," Patrick W. Dorsey, CFA, Anthony M. Fiore, CFA, and Ian </w:t>
            </w:r>
            <w:proofErr w:type="spellStart"/>
            <w:r w:rsidRPr="00984CA7">
              <w:rPr>
                <w:rFonts w:ascii="Segoe UI" w:eastAsia="宋体" w:hAnsi="Segoe UI" w:cs="Segoe UI"/>
                <w:color w:val="333333"/>
                <w:kern w:val="0"/>
                <w:sz w:val="18"/>
                <w:szCs w:val="18"/>
              </w:rPr>
              <w:t>Rossa</w:t>
            </w:r>
            <w:proofErr w:type="spellEnd"/>
            <w:r w:rsidRPr="00984CA7">
              <w:rPr>
                <w:rFonts w:ascii="Segoe UI" w:eastAsia="宋体" w:hAnsi="Segoe UI" w:cs="Segoe UI"/>
                <w:color w:val="333333"/>
                <w:kern w:val="0"/>
                <w:sz w:val="18"/>
                <w:szCs w:val="18"/>
              </w:rPr>
              <w:t xml:space="preserve"> O'Reilly, CFA </w:t>
            </w:r>
            <w:r w:rsidRPr="00984CA7">
              <w:rPr>
                <w:rFonts w:ascii="Segoe UI" w:eastAsia="宋体" w:hAnsi="Segoe UI" w:cs="Segoe UI"/>
                <w:color w:val="333333"/>
                <w:kern w:val="0"/>
                <w:sz w:val="18"/>
                <w:szCs w:val="18"/>
              </w:rPr>
              <w:br/>
              <w:t>2011 Modular Level I, Vol. 5, p. 235</w:t>
            </w:r>
            <w:r w:rsidRPr="00984CA7">
              <w:rPr>
                <w:rFonts w:ascii="Segoe UI" w:eastAsia="宋体" w:hAnsi="Segoe UI" w:cs="Segoe UI"/>
                <w:color w:val="333333"/>
                <w:kern w:val="0"/>
                <w:sz w:val="18"/>
                <w:szCs w:val="18"/>
              </w:rPr>
              <w:br/>
              <w:t>Study Session 14–59–g</w:t>
            </w:r>
            <w:r w:rsidRPr="00984CA7">
              <w:rPr>
                <w:rFonts w:ascii="Segoe UI" w:eastAsia="宋体" w:hAnsi="Segoe UI" w:cs="Segoe UI"/>
                <w:color w:val="333333"/>
                <w:kern w:val="0"/>
                <w:sz w:val="18"/>
                <w:szCs w:val="18"/>
              </w:rPr>
              <w:br/>
              <w:t>Describe product and industry life-cycle models, classify an industry as to life-cycle phase (i.e., embryonic, growth, shakeout, maturity, or decline) based on a description of it, and discuss the limitations of the life-cycle concept in forecasting industry performance.</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The shakeout stage is usually characterized by slowing growth, intense competition, and declining profitability. During the shakeout stage, demand approaches market saturation levels because few new customers are left to enter the market. Competition is intense as growth becomes increasingly dependent on market share gains.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640"/>
        <w:gridCol w:w="7093"/>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42</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An investor gathers the following data. To estimate the stock’s justified forward P/E, the investor prefers to use: </w:t>
            </w:r>
          </w:p>
          <w:p w:rsidR="00984CA7" w:rsidRPr="00984CA7" w:rsidRDefault="00984CA7" w:rsidP="00984CA7">
            <w:pPr>
              <w:widowControl/>
              <w:numPr>
                <w:ilvl w:val="0"/>
                <w:numId w:val="1"/>
              </w:numPr>
              <w:spacing w:before="100" w:beforeAutospacing="1" w:after="100" w:afterAutospacing="1"/>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the earnings growth rate rather than the dividends growth rate and </w:t>
            </w:r>
          </w:p>
          <w:p w:rsidR="00984CA7" w:rsidRPr="00984CA7" w:rsidRDefault="00984CA7" w:rsidP="00984CA7">
            <w:pPr>
              <w:widowControl/>
              <w:numPr>
                <w:ilvl w:val="0"/>
                <w:numId w:val="1"/>
              </w:numPr>
              <w:spacing w:before="100" w:beforeAutospacing="1" w:after="100" w:afterAutospacing="1"/>
              <w:jc w:val="left"/>
              <w:rPr>
                <w:rFonts w:ascii="Segoe UI" w:eastAsia="宋体" w:hAnsi="Segoe UI" w:cs="Segoe UI"/>
                <w:color w:val="333333"/>
                <w:kern w:val="0"/>
                <w:sz w:val="18"/>
                <w:szCs w:val="18"/>
              </w:rPr>
            </w:pPr>
            <w:proofErr w:type="gramStart"/>
            <w:r w:rsidRPr="00984CA7">
              <w:rPr>
                <w:rFonts w:ascii="Segoe UI" w:eastAsia="宋体" w:hAnsi="Segoe UI" w:cs="Segoe UI"/>
                <w:color w:val="333333"/>
                <w:kern w:val="0"/>
                <w:sz w:val="18"/>
                <w:szCs w:val="18"/>
              </w:rPr>
              <w:t>the</w:t>
            </w:r>
            <w:proofErr w:type="gramEnd"/>
            <w:r w:rsidRPr="00984CA7">
              <w:rPr>
                <w:rFonts w:ascii="Segoe UI" w:eastAsia="宋体" w:hAnsi="Segoe UI" w:cs="Segoe UI"/>
                <w:color w:val="333333"/>
                <w:kern w:val="0"/>
                <w:sz w:val="18"/>
                <w:szCs w:val="18"/>
              </w:rPr>
              <w:t xml:space="preserve"> average of the payout ratios over the relevant period, in this case 2006–2009, rather than the most recent payout ratio.</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7"/>
              <w:gridCol w:w="2006"/>
              <w:gridCol w:w="1893"/>
              <w:gridCol w:w="2049"/>
            </w:tblGrid>
            <w:tr w:rsidR="00984CA7" w:rsidRPr="00984CA7">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Year</w:t>
                  </w:r>
                </w:p>
              </w:tc>
              <w:tc>
                <w:tcPr>
                  <w:tcW w:w="10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EPS</w:t>
                  </w:r>
                </w:p>
              </w:tc>
              <w:tc>
                <w:tcPr>
                  <w:tcW w:w="9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DPS</w:t>
                  </w:r>
                </w:p>
              </w:tc>
              <w:tc>
                <w:tcPr>
                  <w:tcW w:w="106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b/>
                      <w:bCs/>
                      <w:color w:val="333333"/>
                      <w:kern w:val="0"/>
                      <w:sz w:val="18"/>
                      <w:szCs w:val="18"/>
                    </w:rPr>
                    <w:t>ROE</w:t>
                  </w:r>
                </w:p>
              </w:tc>
            </w:tr>
            <w:tr w:rsidR="00984CA7" w:rsidRPr="00984CA7">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2009</w:t>
                  </w:r>
                </w:p>
              </w:tc>
              <w:tc>
                <w:tcPr>
                  <w:tcW w:w="10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$3.20</w:t>
                  </w:r>
                </w:p>
              </w:tc>
              <w:tc>
                <w:tcPr>
                  <w:tcW w:w="9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$1.92</w:t>
                  </w:r>
                </w:p>
              </w:tc>
              <w:tc>
                <w:tcPr>
                  <w:tcW w:w="106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12%</w:t>
                  </w:r>
                </w:p>
              </w:tc>
            </w:tr>
            <w:tr w:rsidR="00984CA7" w:rsidRPr="00984CA7">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2008</w:t>
                  </w:r>
                </w:p>
              </w:tc>
              <w:tc>
                <w:tcPr>
                  <w:tcW w:w="10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$3.60</w:t>
                  </w:r>
                </w:p>
              </w:tc>
              <w:tc>
                <w:tcPr>
                  <w:tcW w:w="9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$1.80</w:t>
                  </w:r>
                </w:p>
              </w:tc>
              <w:tc>
                <w:tcPr>
                  <w:tcW w:w="106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17%</w:t>
                  </w:r>
                </w:p>
              </w:tc>
            </w:tr>
            <w:tr w:rsidR="00984CA7" w:rsidRPr="00984CA7">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2007</w:t>
                  </w:r>
                </w:p>
              </w:tc>
              <w:tc>
                <w:tcPr>
                  <w:tcW w:w="10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$2.44</w:t>
                  </w:r>
                </w:p>
              </w:tc>
              <w:tc>
                <w:tcPr>
                  <w:tcW w:w="9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$1.71</w:t>
                  </w:r>
                </w:p>
              </w:tc>
              <w:tc>
                <w:tcPr>
                  <w:tcW w:w="106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13%</w:t>
                  </w:r>
                </w:p>
              </w:tc>
            </w:tr>
            <w:tr w:rsidR="00984CA7" w:rsidRPr="00984CA7">
              <w:trPr>
                <w:tblCellSpacing w:w="15" w:type="dxa"/>
              </w:trPr>
              <w:tc>
                <w:tcPr>
                  <w:tcW w:w="100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2006</w:t>
                  </w:r>
                </w:p>
              </w:tc>
              <w:tc>
                <w:tcPr>
                  <w:tcW w:w="105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$2.50</w:t>
                  </w:r>
                </w:p>
              </w:tc>
              <w:tc>
                <w:tcPr>
                  <w:tcW w:w="990"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$1.60</w:t>
                  </w:r>
                </w:p>
              </w:tc>
              <w:tc>
                <w:tcPr>
                  <w:tcW w:w="106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15%</w:t>
                  </w:r>
                </w:p>
              </w:tc>
            </w:tr>
          </w:tbl>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br/>
              <w:t xml:space="preserve">The yield on 10-year T-notes is 3 percent and the current equity risk premium is 6.5 percent. If the stock’s beta is 1.3, the stock’s justified forward P/E is </w:t>
            </w:r>
            <w:r w:rsidRPr="00984CA7">
              <w:rPr>
                <w:rFonts w:ascii="Segoe UI" w:eastAsia="宋体" w:hAnsi="Segoe UI" w:cs="Segoe UI"/>
                <w:i/>
                <w:iCs/>
                <w:color w:val="333333"/>
                <w:kern w:val="0"/>
                <w:sz w:val="18"/>
                <w:szCs w:val="18"/>
              </w:rPr>
              <w:t>closest</w:t>
            </w:r>
            <w:r w:rsidRPr="00984CA7">
              <w:rPr>
                <w:rFonts w:ascii="Segoe UI" w:eastAsia="宋体" w:hAnsi="Segoe UI" w:cs="Segoe UI"/>
                <w:color w:val="333333"/>
                <w:kern w:val="0"/>
                <w:sz w:val="18"/>
                <w:szCs w:val="18"/>
              </w:rPr>
              <w:t xml:space="preserve"> to:</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44" type="#_x0000_t75" style="width:20.25pt;height:15.75pt" o:ole="">
                  <v:imagedata r:id="rId7" o:title=""/>
                </v:shape>
                <w:control r:id="rId132" w:name="DefaultOcxName61" w:shapeid="_x0000_i144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12.</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43" type="#_x0000_t75" style="width:20.25pt;height:15.75pt" o:ole="">
                  <v:imagedata r:id="rId9" o:title=""/>
                </v:shape>
                <w:control r:id="rId133" w:name="DefaultOcxName141" w:shapeid="_x0000_i144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16.</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42" type="#_x0000_t75" style="width:20.25pt;height:15.75pt" o:ole="">
                  <v:imagedata r:id="rId9" o:title=""/>
                </v:shape>
                <w:control r:id="rId134" w:name="DefaultOcxName241" w:shapeid="_x0000_i144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21.</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FF6347"/>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incorrectly.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C</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lastRenderedPageBreak/>
              <w:br/>
              <w:t xml:space="preserve">"Equity Valuation: Concepts and Basic Tools," John J. </w:t>
            </w:r>
            <w:proofErr w:type="spellStart"/>
            <w:r w:rsidRPr="00984CA7">
              <w:rPr>
                <w:rFonts w:ascii="Segoe UI" w:eastAsia="宋体" w:hAnsi="Segoe UI" w:cs="Segoe UI"/>
                <w:color w:val="333333"/>
                <w:kern w:val="0"/>
                <w:sz w:val="18"/>
                <w:szCs w:val="18"/>
              </w:rPr>
              <w:t>Nagorniak</w:t>
            </w:r>
            <w:proofErr w:type="spellEnd"/>
            <w:r w:rsidRPr="00984CA7">
              <w:rPr>
                <w:rFonts w:ascii="Segoe UI" w:eastAsia="宋体" w:hAnsi="Segoe UI" w:cs="Segoe UI"/>
                <w:color w:val="333333"/>
                <w:kern w:val="0"/>
                <w:sz w:val="18"/>
                <w:szCs w:val="18"/>
              </w:rPr>
              <w:t xml:space="preserve">, CFA, and Stephen E. Wilcox, CFA </w:t>
            </w:r>
            <w:r w:rsidRPr="00984CA7">
              <w:rPr>
                <w:rFonts w:ascii="Segoe UI" w:eastAsia="宋体" w:hAnsi="Segoe UI" w:cs="Segoe UI"/>
                <w:color w:val="333333"/>
                <w:kern w:val="0"/>
                <w:sz w:val="18"/>
                <w:szCs w:val="18"/>
              </w:rPr>
              <w:br/>
              <w:t>2011 Modular Level I, Vol. 5, pp. 276, 281, 289–291</w:t>
            </w:r>
            <w:r w:rsidRPr="00984CA7">
              <w:rPr>
                <w:rFonts w:ascii="Segoe UI" w:eastAsia="宋体" w:hAnsi="Segoe UI" w:cs="Segoe UI"/>
                <w:color w:val="333333"/>
                <w:kern w:val="0"/>
                <w:sz w:val="18"/>
                <w:szCs w:val="18"/>
              </w:rPr>
              <w:br/>
              <w:t>Study Session 14–60–h</w:t>
            </w:r>
            <w:r w:rsidRPr="00984CA7">
              <w:rPr>
                <w:rFonts w:ascii="Segoe UI" w:eastAsia="宋体" w:hAnsi="Segoe UI" w:cs="Segoe UI"/>
                <w:color w:val="333333"/>
                <w:kern w:val="0"/>
                <w:sz w:val="18"/>
                <w:szCs w:val="18"/>
              </w:rPr>
              <w:br/>
              <w:t>Calculate and interpret the following multiples: price to earnings, price to an estimate of operating cash flow, price to sales, and price to book value.</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Earnings growth rate over the period 2006–2009 = 2.50 × (1 + </w:t>
            </w:r>
            <w:r w:rsidRPr="00984CA7">
              <w:rPr>
                <w:rFonts w:ascii="Segoe UI" w:eastAsia="宋体" w:hAnsi="Segoe UI" w:cs="Segoe UI"/>
                <w:i/>
                <w:iCs/>
                <w:color w:val="333333"/>
                <w:kern w:val="0"/>
                <w:sz w:val="18"/>
                <w:szCs w:val="18"/>
              </w:rPr>
              <w:t>g</w:t>
            </w:r>
            <w:r w:rsidRPr="00984CA7">
              <w:rPr>
                <w:rFonts w:ascii="Segoe UI" w:eastAsia="宋体" w:hAnsi="Segoe UI" w:cs="Segoe UI"/>
                <w:color w:val="333333"/>
                <w:kern w:val="0"/>
                <w:sz w:val="18"/>
                <w:szCs w:val="18"/>
              </w:rPr>
              <w:t>)</w:t>
            </w:r>
            <w:r w:rsidRPr="00984CA7">
              <w:rPr>
                <w:rFonts w:ascii="Segoe UI" w:eastAsia="宋体" w:hAnsi="Segoe UI" w:cs="Segoe UI"/>
                <w:color w:val="333333"/>
                <w:kern w:val="0"/>
                <w:sz w:val="18"/>
                <w:szCs w:val="18"/>
                <w:vertAlign w:val="superscript"/>
              </w:rPr>
              <w:t>3</w:t>
            </w:r>
            <w:r w:rsidRPr="00984CA7">
              <w:rPr>
                <w:rFonts w:ascii="Segoe UI" w:eastAsia="宋体" w:hAnsi="Segoe UI" w:cs="Segoe UI"/>
                <w:color w:val="333333"/>
                <w:kern w:val="0"/>
                <w:sz w:val="18"/>
                <w:szCs w:val="18"/>
              </w:rPr>
              <w:t xml:space="preserve"> = 3.20; </w:t>
            </w:r>
            <w:r w:rsidRPr="00984CA7">
              <w:rPr>
                <w:rFonts w:ascii="Segoe UI" w:eastAsia="宋体" w:hAnsi="Segoe UI" w:cs="Segoe UI"/>
                <w:i/>
                <w:iCs/>
                <w:color w:val="333333"/>
                <w:kern w:val="0"/>
                <w:sz w:val="18"/>
                <w:szCs w:val="18"/>
              </w:rPr>
              <w:t>g</w:t>
            </w:r>
            <w:r w:rsidRPr="00984CA7">
              <w:rPr>
                <w:rFonts w:ascii="Segoe UI" w:eastAsia="宋体" w:hAnsi="Segoe UI" w:cs="Segoe UI"/>
                <w:color w:val="333333"/>
                <w:kern w:val="0"/>
                <w:sz w:val="18"/>
                <w:szCs w:val="18"/>
              </w:rPr>
              <w:t xml:space="preserve"> = 8.6%</w:t>
            </w:r>
            <w:r w:rsidRPr="00984CA7">
              <w:rPr>
                <w:rFonts w:ascii="Segoe UI" w:eastAsia="宋体" w:hAnsi="Segoe UI" w:cs="Segoe UI"/>
                <w:color w:val="333333"/>
                <w:kern w:val="0"/>
                <w:sz w:val="18"/>
                <w:szCs w:val="18"/>
              </w:rPr>
              <w:br/>
              <w:t>Average payout ratio = (0.60 + 0.50 + 0.70 + 0.64) / 4 = 0.61</w:t>
            </w:r>
            <w:r w:rsidRPr="00984CA7">
              <w:rPr>
                <w:rFonts w:ascii="Segoe UI" w:eastAsia="宋体" w:hAnsi="Segoe UI" w:cs="Segoe UI"/>
                <w:color w:val="333333"/>
                <w:kern w:val="0"/>
                <w:sz w:val="18"/>
                <w:szCs w:val="18"/>
              </w:rPr>
              <w:br/>
              <w:t xml:space="preserve">Required rate of return on share </w:t>
            </w:r>
            <w:proofErr w:type="spellStart"/>
            <w:r w:rsidRPr="00984CA7">
              <w:rPr>
                <w:rFonts w:ascii="Segoe UI" w:eastAsia="宋体" w:hAnsi="Segoe UI" w:cs="Segoe UI"/>
                <w:i/>
                <w:iCs/>
                <w:color w:val="333333"/>
                <w:kern w:val="0"/>
                <w:sz w:val="18"/>
                <w:szCs w:val="18"/>
              </w:rPr>
              <w:t>i</w:t>
            </w:r>
            <w:proofErr w:type="spellEnd"/>
            <w:r w:rsidRPr="00984CA7">
              <w:rPr>
                <w:rFonts w:ascii="Segoe UI" w:eastAsia="宋体" w:hAnsi="Segoe UI" w:cs="Segoe UI"/>
                <w:color w:val="333333"/>
                <w:kern w:val="0"/>
                <w:sz w:val="18"/>
                <w:szCs w:val="18"/>
              </w:rPr>
              <w:t xml:space="preserve"> = Current expected risk-free rate of return + </w:t>
            </w:r>
            <w:proofErr w:type="spellStart"/>
            <w:r w:rsidRPr="00984CA7">
              <w:rPr>
                <w:rFonts w:ascii="Segoe UI" w:eastAsia="宋体" w:hAnsi="Segoe UI" w:cs="Segoe UI"/>
                <w:color w:val="333333"/>
                <w:kern w:val="0"/>
                <w:sz w:val="18"/>
                <w:szCs w:val="18"/>
              </w:rPr>
              <w:t>Beta</w:t>
            </w:r>
            <w:r w:rsidRPr="00984CA7">
              <w:rPr>
                <w:rFonts w:ascii="Segoe UI" w:eastAsia="宋体" w:hAnsi="Segoe UI" w:cs="Segoe UI"/>
                <w:i/>
                <w:iCs/>
                <w:color w:val="333333"/>
                <w:kern w:val="0"/>
                <w:sz w:val="18"/>
                <w:szCs w:val="18"/>
                <w:vertAlign w:val="subscript"/>
              </w:rPr>
              <w:t>i</w:t>
            </w:r>
            <w:proofErr w:type="spellEnd"/>
            <w:r w:rsidRPr="00984CA7">
              <w:rPr>
                <w:rFonts w:ascii="Segoe UI" w:eastAsia="宋体" w:hAnsi="Segoe UI" w:cs="Segoe UI"/>
                <w:color w:val="333333"/>
                <w:kern w:val="0"/>
                <w:sz w:val="18"/>
                <w:szCs w:val="18"/>
              </w:rPr>
              <w:t xml:space="preserve"> [Market (equity) risk premium] </w:t>
            </w:r>
            <w:r w:rsidRPr="00984CA7">
              <w:rPr>
                <w:rFonts w:ascii="Segoe UI" w:eastAsia="宋体" w:hAnsi="Segoe UI" w:cs="Segoe UI"/>
                <w:color w:val="333333"/>
                <w:kern w:val="0"/>
                <w:sz w:val="18"/>
                <w:szCs w:val="18"/>
              </w:rPr>
              <w:br/>
              <w:t>= 3% + 1.3 (6.5%) = 11.5%</w:t>
            </w:r>
            <w:r w:rsidRPr="00984CA7">
              <w:rPr>
                <w:rFonts w:ascii="Segoe UI" w:eastAsia="宋体" w:hAnsi="Segoe UI" w:cs="Segoe UI"/>
                <w:color w:val="333333"/>
                <w:kern w:val="0"/>
                <w:sz w:val="18"/>
                <w:szCs w:val="18"/>
              </w:rPr>
              <w:br/>
              <w:t>P/E</w:t>
            </w:r>
            <w:r w:rsidRPr="00984CA7">
              <w:rPr>
                <w:rFonts w:ascii="Segoe UI" w:eastAsia="宋体" w:hAnsi="Segoe UI" w:cs="Segoe UI"/>
                <w:color w:val="333333"/>
                <w:kern w:val="0"/>
                <w:sz w:val="18"/>
                <w:szCs w:val="18"/>
                <w:vertAlign w:val="subscript"/>
              </w:rPr>
              <w:t>1</w:t>
            </w:r>
            <w:r w:rsidRPr="00984CA7">
              <w:rPr>
                <w:rFonts w:ascii="Segoe UI" w:eastAsia="宋体" w:hAnsi="Segoe UI" w:cs="Segoe UI"/>
                <w:color w:val="333333"/>
                <w:kern w:val="0"/>
                <w:sz w:val="18"/>
                <w:szCs w:val="18"/>
              </w:rPr>
              <w:t xml:space="preserve"> = </w:t>
            </w:r>
            <w:r w:rsidRPr="00984CA7">
              <w:rPr>
                <w:rFonts w:ascii="Segoe UI" w:eastAsia="宋体" w:hAnsi="Segoe UI" w:cs="Segoe UI"/>
                <w:i/>
                <w:iCs/>
                <w:color w:val="333333"/>
                <w:kern w:val="0"/>
                <w:sz w:val="18"/>
                <w:szCs w:val="18"/>
              </w:rPr>
              <w:t>p</w:t>
            </w:r>
            <w:r w:rsidRPr="00984CA7">
              <w:rPr>
                <w:rFonts w:ascii="Segoe UI" w:eastAsia="宋体" w:hAnsi="Segoe UI" w:cs="Segoe UI"/>
                <w:color w:val="333333"/>
                <w:kern w:val="0"/>
                <w:sz w:val="18"/>
                <w:szCs w:val="18"/>
              </w:rPr>
              <w:t xml:space="preserve"> / (r – </w:t>
            </w:r>
            <w:r w:rsidRPr="00984CA7">
              <w:rPr>
                <w:rFonts w:ascii="Segoe UI" w:eastAsia="宋体" w:hAnsi="Segoe UI" w:cs="Segoe UI"/>
                <w:i/>
                <w:iCs/>
                <w:color w:val="333333"/>
                <w:kern w:val="0"/>
                <w:sz w:val="18"/>
                <w:szCs w:val="18"/>
              </w:rPr>
              <w:t>g</w:t>
            </w:r>
            <w:r w:rsidRPr="00984CA7">
              <w:rPr>
                <w:rFonts w:ascii="Segoe UI" w:eastAsia="宋体" w:hAnsi="Segoe UI" w:cs="Segoe UI"/>
                <w:color w:val="333333"/>
                <w:kern w:val="0"/>
                <w:sz w:val="18"/>
                <w:szCs w:val="18"/>
              </w:rPr>
              <w:t xml:space="preserve"> = 0.61 / (0.115 – 0.086) = 0.61 / 0.029 = 21.0</w:t>
            </w:r>
            <w:r w:rsidRPr="00984CA7">
              <w:rPr>
                <w:rFonts w:ascii="Segoe UI" w:eastAsia="宋体" w:hAnsi="Segoe UI" w:cs="Segoe UI"/>
                <w:color w:val="333333"/>
                <w:kern w:val="0"/>
                <w:sz w:val="18"/>
                <w:szCs w:val="18"/>
              </w:rPr>
              <w:br/>
              <w:t>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676"/>
        <w:gridCol w:w="7057"/>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43</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An investor evaluating a company’s common stock for investment has gathered the following data.</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56"/>
              <w:gridCol w:w="1529"/>
            </w:tblGrid>
            <w:tr w:rsidR="00984CA7" w:rsidRPr="00984CA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Current year's earnings per share</w:t>
                  </w:r>
                </w:p>
              </w:tc>
              <w:tc>
                <w:tcPr>
                  <w:tcW w:w="112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$2.50</w:t>
                  </w:r>
                </w:p>
              </w:tc>
            </w:tr>
            <w:tr w:rsidR="00984CA7" w:rsidRPr="00984CA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Dividend payout ratio</w:t>
                  </w:r>
                </w:p>
              </w:tc>
              <w:tc>
                <w:tcPr>
                  <w:tcW w:w="112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60%</w:t>
                  </w:r>
                </w:p>
              </w:tc>
            </w:tr>
            <w:tr w:rsidR="00984CA7" w:rsidRPr="00984CA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Dividend growth rate expected during Years 1 and 2</w:t>
                  </w:r>
                </w:p>
              </w:tc>
              <w:tc>
                <w:tcPr>
                  <w:tcW w:w="112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25%</w:t>
                  </w:r>
                </w:p>
              </w:tc>
            </w:tr>
            <w:tr w:rsidR="00984CA7" w:rsidRPr="00984CA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Dividend growth rate expected after Year 2</w:t>
                  </w:r>
                </w:p>
              </w:tc>
              <w:tc>
                <w:tcPr>
                  <w:tcW w:w="112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5%</w:t>
                  </w:r>
                </w:p>
              </w:tc>
            </w:tr>
            <w:tr w:rsidR="00984CA7" w:rsidRPr="00984CA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Investors' required rate of return</w:t>
                  </w:r>
                </w:p>
              </w:tc>
              <w:tc>
                <w:tcPr>
                  <w:tcW w:w="1125" w:type="dxa"/>
                  <w:tcBorders>
                    <w:top w:val="outset" w:sz="6" w:space="0" w:color="auto"/>
                    <w:left w:val="outset" w:sz="6" w:space="0" w:color="auto"/>
                    <w:bottom w:val="outset" w:sz="6" w:space="0" w:color="auto"/>
                    <w:right w:val="outset" w:sz="6" w:space="0" w:color="auto"/>
                  </w:tcBorders>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12%</w:t>
                  </w:r>
                </w:p>
              </w:tc>
            </w:tr>
          </w:tbl>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br/>
              <w:t xml:space="preserve">The value per share of this common stock is </w:t>
            </w:r>
            <w:r w:rsidRPr="00984CA7">
              <w:rPr>
                <w:rFonts w:ascii="Segoe UI" w:eastAsia="宋体" w:hAnsi="Segoe UI" w:cs="Segoe UI"/>
                <w:i/>
                <w:iCs/>
                <w:color w:val="333333"/>
                <w:kern w:val="0"/>
                <w:sz w:val="18"/>
                <w:szCs w:val="18"/>
              </w:rPr>
              <w:t>closest</w:t>
            </w:r>
            <w:r w:rsidRPr="00984CA7">
              <w:rPr>
                <w:rFonts w:ascii="Segoe UI" w:eastAsia="宋体" w:hAnsi="Segoe UI" w:cs="Segoe UI"/>
                <w:color w:val="333333"/>
                <w:kern w:val="0"/>
                <w:sz w:val="18"/>
                <w:szCs w:val="18"/>
              </w:rPr>
              <w:t xml:space="preserve"> to:</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53" type="#_x0000_t75" style="width:20.25pt;height:15.75pt" o:ole="">
                  <v:imagedata r:id="rId7" o:title=""/>
                </v:shape>
                <w:control r:id="rId135" w:name="DefaultOcxName62" w:shapeid="_x0000_i145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$28.57.</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52" type="#_x0000_t75" style="width:20.25pt;height:15.75pt" o:ole="">
                  <v:imagedata r:id="rId9" o:title=""/>
                </v:shape>
                <w:control r:id="rId136" w:name="DefaultOcxName142" w:shapeid="_x0000_i145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$31.57.</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51" type="#_x0000_t75" style="width:20.25pt;height:15.75pt" o:ole="">
                  <v:imagedata r:id="rId9" o:title=""/>
                </v:shape>
                <w:control r:id="rId137" w:name="DefaultOcxName242" w:shapeid="_x0000_i145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$38.70.</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FF6347"/>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incorrectly.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B</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"Equity Valuation: Concepts and Basic Tools," John J. </w:t>
            </w:r>
            <w:proofErr w:type="spellStart"/>
            <w:r w:rsidRPr="00984CA7">
              <w:rPr>
                <w:rFonts w:ascii="Segoe UI" w:eastAsia="宋体" w:hAnsi="Segoe UI" w:cs="Segoe UI"/>
                <w:color w:val="333333"/>
                <w:kern w:val="0"/>
                <w:sz w:val="18"/>
                <w:szCs w:val="18"/>
              </w:rPr>
              <w:t>Nagorniak</w:t>
            </w:r>
            <w:proofErr w:type="spellEnd"/>
            <w:r w:rsidRPr="00984CA7">
              <w:rPr>
                <w:rFonts w:ascii="Segoe UI" w:eastAsia="宋体" w:hAnsi="Segoe UI" w:cs="Segoe UI"/>
                <w:color w:val="333333"/>
                <w:kern w:val="0"/>
                <w:sz w:val="18"/>
                <w:szCs w:val="18"/>
              </w:rPr>
              <w:t xml:space="preserve">, CFA, and Stephen E. Wilcox, CFA </w:t>
            </w:r>
            <w:r w:rsidRPr="00984CA7">
              <w:rPr>
                <w:rFonts w:ascii="Segoe UI" w:eastAsia="宋体" w:hAnsi="Segoe UI" w:cs="Segoe UI"/>
                <w:color w:val="333333"/>
                <w:kern w:val="0"/>
                <w:sz w:val="18"/>
                <w:szCs w:val="18"/>
              </w:rPr>
              <w:br/>
              <w:t>2011 Modular Level I, Vol. 5, pp. 284–286</w:t>
            </w:r>
            <w:r w:rsidRPr="00984CA7">
              <w:rPr>
                <w:rFonts w:ascii="Segoe UI" w:eastAsia="宋体" w:hAnsi="Segoe UI" w:cs="Segoe UI"/>
                <w:color w:val="333333"/>
                <w:kern w:val="0"/>
                <w:sz w:val="18"/>
                <w:szCs w:val="18"/>
              </w:rPr>
              <w:br/>
              <w:t>Study Session 14–60–e</w:t>
            </w:r>
            <w:r w:rsidRPr="00984CA7">
              <w:rPr>
                <w:rFonts w:ascii="Segoe UI" w:eastAsia="宋体" w:hAnsi="Segoe UI" w:cs="Segoe UI"/>
                <w:color w:val="333333"/>
                <w:kern w:val="0"/>
                <w:sz w:val="18"/>
                <w:szCs w:val="18"/>
              </w:rPr>
              <w:br/>
              <w:t>Calculate and interpret the intrinsic value of an equity security based on the Gordon (constant) growth dividend discount model or a two-stage dividend discount model, as appropriate.</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lastRenderedPageBreak/>
              <w:br/>
            </w:r>
          </w:p>
          <w:tbl>
            <w:tblPr>
              <w:tblpPr w:leftFromText="45" w:rightFromText="45" w:vertAnchor="text"/>
              <w:tblW w:w="5000" w:type="pct"/>
              <w:tblCellSpacing w:w="15" w:type="dxa"/>
              <w:tblCellMar>
                <w:top w:w="15" w:type="dxa"/>
                <w:left w:w="15" w:type="dxa"/>
                <w:bottom w:w="15" w:type="dxa"/>
                <w:right w:w="15" w:type="dxa"/>
              </w:tblCellMar>
              <w:tblLook w:val="04A0"/>
            </w:tblPr>
            <w:tblGrid>
              <w:gridCol w:w="429"/>
              <w:gridCol w:w="7502"/>
            </w:tblGrid>
            <w:tr w:rsidR="00984CA7" w:rsidRPr="00984CA7">
              <w:trPr>
                <w:tblCellSpacing w:w="15" w:type="dxa"/>
              </w:trPr>
              <w:tc>
                <w:tcPr>
                  <w:tcW w:w="8430" w:type="dxa"/>
                  <w:gridSpan w:val="2"/>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Current year's dividend per share = $2.50 × 0.6 = $1.50</w:t>
                  </w:r>
                </w:p>
              </w:tc>
            </w:tr>
            <w:tr w:rsidR="00984CA7" w:rsidRPr="00984CA7">
              <w:trPr>
                <w:tblCellSpacing w:w="15" w:type="dxa"/>
              </w:trPr>
              <w:tc>
                <w:tcPr>
                  <w:tcW w:w="405" w:type="dxa"/>
                  <w:vAlign w:val="center"/>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V =</w:t>
                  </w:r>
                </w:p>
              </w:tc>
              <w:tc>
                <w:tcPr>
                  <w:tcW w:w="802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1.50(1.25) / 1.12 + 1.50(1.25)</w:t>
                  </w:r>
                  <w:r w:rsidRPr="00984CA7">
                    <w:rPr>
                      <w:rFonts w:ascii="Segoe UI" w:eastAsia="宋体" w:hAnsi="Segoe UI" w:cs="Segoe UI"/>
                      <w:color w:val="333333"/>
                      <w:kern w:val="0"/>
                      <w:sz w:val="18"/>
                      <w:szCs w:val="18"/>
                      <w:vertAlign w:val="superscript"/>
                    </w:rPr>
                    <w:t>2</w:t>
                  </w:r>
                  <w:r w:rsidRPr="00984CA7">
                    <w:rPr>
                      <w:rFonts w:ascii="Segoe UI" w:eastAsia="宋体" w:hAnsi="Segoe UI" w:cs="Segoe UI"/>
                      <w:color w:val="333333"/>
                      <w:kern w:val="0"/>
                      <w:sz w:val="18"/>
                      <w:szCs w:val="18"/>
                    </w:rPr>
                    <w:t xml:space="preserve"> / 1.12</w:t>
                  </w:r>
                  <w:r w:rsidRPr="00984CA7">
                    <w:rPr>
                      <w:rFonts w:ascii="Segoe UI" w:eastAsia="宋体" w:hAnsi="Segoe UI" w:cs="Segoe UI"/>
                      <w:color w:val="333333"/>
                      <w:kern w:val="0"/>
                      <w:sz w:val="18"/>
                      <w:szCs w:val="18"/>
                      <w:vertAlign w:val="superscript"/>
                    </w:rPr>
                    <w:t>2</w:t>
                  </w:r>
                  <w:r w:rsidRPr="00984CA7">
                    <w:rPr>
                      <w:rFonts w:ascii="Segoe UI" w:eastAsia="宋体" w:hAnsi="Segoe UI" w:cs="Segoe UI"/>
                      <w:color w:val="333333"/>
                      <w:kern w:val="0"/>
                      <w:sz w:val="18"/>
                      <w:szCs w:val="18"/>
                    </w:rPr>
                    <w:t xml:space="preserve"> + [1.50(1.25)</w:t>
                  </w:r>
                  <w:r w:rsidRPr="00984CA7">
                    <w:rPr>
                      <w:rFonts w:ascii="Segoe UI" w:eastAsia="宋体" w:hAnsi="Segoe UI" w:cs="Segoe UI"/>
                      <w:color w:val="333333"/>
                      <w:kern w:val="0"/>
                      <w:sz w:val="18"/>
                      <w:szCs w:val="18"/>
                      <w:vertAlign w:val="superscript"/>
                    </w:rPr>
                    <w:t>2</w:t>
                  </w:r>
                  <w:r w:rsidRPr="00984CA7">
                    <w:rPr>
                      <w:rFonts w:ascii="Segoe UI" w:eastAsia="宋体" w:hAnsi="Segoe UI" w:cs="Segoe UI"/>
                      <w:color w:val="333333"/>
                      <w:kern w:val="0"/>
                      <w:sz w:val="18"/>
                      <w:szCs w:val="18"/>
                    </w:rPr>
                    <w:t>(1.05) / (0.12 – 0.05)] / 1.12</w:t>
                  </w:r>
                  <w:r w:rsidRPr="00984CA7">
                    <w:rPr>
                      <w:rFonts w:ascii="Segoe UI" w:eastAsia="宋体" w:hAnsi="Segoe UI" w:cs="Segoe UI"/>
                      <w:color w:val="333333"/>
                      <w:kern w:val="0"/>
                      <w:sz w:val="18"/>
                      <w:szCs w:val="18"/>
                      <w:vertAlign w:val="superscript"/>
                    </w:rPr>
                    <w:t>2</w:t>
                  </w:r>
                </w:p>
              </w:tc>
            </w:tr>
            <w:tr w:rsidR="00984CA7" w:rsidRPr="00984CA7">
              <w:trPr>
                <w:tblCellSpacing w:w="15" w:type="dxa"/>
              </w:trPr>
              <w:tc>
                <w:tcPr>
                  <w:tcW w:w="405" w:type="dxa"/>
                  <w:hideMark/>
                </w:tcPr>
                <w:p w:rsidR="00984CA7" w:rsidRPr="00984CA7" w:rsidRDefault="00984CA7" w:rsidP="00984CA7">
                  <w:pPr>
                    <w:widowControl/>
                    <w:jc w:val="righ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w:t>
                  </w:r>
                </w:p>
              </w:tc>
              <w:tc>
                <w:tcPr>
                  <w:tcW w:w="802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$1.67 + $1.87 + $28.03 = $31.57</w:t>
                  </w:r>
                </w:p>
              </w:tc>
            </w:tr>
          </w:tbl>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696"/>
        <w:gridCol w:w="7037"/>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44</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According to behavioral finance, observed overreaction in securities markets </w:t>
            </w:r>
            <w:r w:rsidRPr="00984CA7">
              <w:rPr>
                <w:rFonts w:ascii="Segoe UI" w:eastAsia="宋体" w:hAnsi="Segoe UI" w:cs="Segoe UI"/>
                <w:i/>
                <w:iCs/>
                <w:color w:val="333333"/>
                <w:kern w:val="0"/>
                <w:sz w:val="18"/>
                <w:szCs w:val="18"/>
              </w:rPr>
              <w:t>most likely</w:t>
            </w:r>
            <w:r w:rsidRPr="00984CA7">
              <w:rPr>
                <w:rFonts w:ascii="Segoe UI" w:eastAsia="宋体" w:hAnsi="Segoe UI" w:cs="Segoe UI"/>
                <w:color w:val="333333"/>
                <w:kern w:val="0"/>
                <w:sz w:val="18"/>
                <w:szCs w:val="18"/>
              </w:rPr>
              <w:t xml:space="preserve"> occurs due to:</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62" type="#_x0000_t75" style="width:20.25pt;height:15.75pt" o:ole="">
                  <v:imagedata r:id="rId7" o:title=""/>
                </v:shape>
                <w:control r:id="rId138" w:name="DefaultOcxName63" w:shapeid="_x0000_i146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loss aversion.</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61" type="#_x0000_t75" style="width:20.25pt;height:15.75pt" o:ole="">
                  <v:imagedata r:id="rId9" o:title=""/>
                </v:shape>
                <w:control r:id="rId139" w:name="DefaultOcxName143" w:shapeid="_x0000_i146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gambler’s fallacy.</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60" type="#_x0000_t75" style="width:20.25pt;height:15.75pt" o:ole="">
                  <v:imagedata r:id="rId9" o:title=""/>
                </v:shape>
                <w:control r:id="rId140" w:name="DefaultOcxName243" w:shapeid="_x0000_i146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disposition effect.</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9ACD32"/>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A</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"Market Efficiency," W. Sean Cleary, CFA, Howard J. Atkinson, CFA, and Pamela Peterson Drake, CFA </w:t>
            </w:r>
            <w:r w:rsidRPr="00984CA7">
              <w:rPr>
                <w:rFonts w:ascii="Segoe UI" w:eastAsia="宋体" w:hAnsi="Segoe UI" w:cs="Segoe UI"/>
                <w:color w:val="333333"/>
                <w:kern w:val="0"/>
                <w:sz w:val="18"/>
                <w:szCs w:val="18"/>
              </w:rPr>
              <w:br/>
              <w:t>2011 Modular Level I, Vol. 5, pp. 148–149</w:t>
            </w:r>
            <w:r w:rsidRPr="00984CA7">
              <w:rPr>
                <w:rFonts w:ascii="Segoe UI" w:eastAsia="宋体" w:hAnsi="Segoe UI" w:cs="Segoe UI"/>
                <w:color w:val="333333"/>
                <w:kern w:val="0"/>
                <w:sz w:val="18"/>
                <w:szCs w:val="18"/>
              </w:rPr>
              <w:br/>
              <w:t>Study Session 13–57–g</w:t>
            </w:r>
            <w:r w:rsidRPr="00984CA7">
              <w:rPr>
                <w:rFonts w:ascii="Segoe UI" w:eastAsia="宋体" w:hAnsi="Segoe UI" w:cs="Segoe UI"/>
                <w:color w:val="333333"/>
                <w:kern w:val="0"/>
                <w:sz w:val="18"/>
                <w:szCs w:val="18"/>
              </w:rPr>
              <w:br/>
              <w:t>Compare and contrast the behavioral finance view of investor behavior with that of traditional finance in regards to market efficiency.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According to loss aversion related arguments in behavioral theories, investors dislike losses more than they like comparable gains. Thus, such a behavioral bias can explain observed overreaction in markets.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656"/>
        <w:gridCol w:w="7077"/>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45</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Companies pursuing cost leadership will </w:t>
            </w:r>
            <w:r w:rsidRPr="00984CA7">
              <w:rPr>
                <w:rFonts w:ascii="Segoe UI" w:eastAsia="宋体" w:hAnsi="Segoe UI" w:cs="Segoe UI"/>
                <w:i/>
                <w:iCs/>
                <w:color w:val="333333"/>
                <w:kern w:val="0"/>
                <w:sz w:val="18"/>
                <w:szCs w:val="18"/>
              </w:rPr>
              <w:t>most likely</w:t>
            </w:r>
            <w:r w:rsidRPr="00984CA7">
              <w:rPr>
                <w:rFonts w:ascii="Segoe UI" w:eastAsia="宋体" w:hAnsi="Segoe UI" w:cs="Segoe UI"/>
                <w:color w:val="333333"/>
                <w:kern w:val="0"/>
                <w:sz w:val="18"/>
                <w:szCs w:val="18"/>
              </w:rPr>
              <w:t>:</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71" type="#_x0000_t75" style="width:20.25pt;height:15.75pt" o:ole="">
                  <v:imagedata r:id="rId7" o:title=""/>
                </v:shape>
                <w:control r:id="rId141" w:name="DefaultOcxName64" w:shapeid="_x0000_i147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w:t>
            </w:r>
            <w:proofErr w:type="gramStart"/>
            <w:r w:rsidRPr="00984CA7">
              <w:rPr>
                <w:rFonts w:ascii="Segoe UI" w:eastAsia="宋体" w:hAnsi="Segoe UI" w:cs="Segoe UI"/>
                <w:color w:val="000000"/>
                <w:kern w:val="0"/>
                <w:sz w:val="18"/>
                <w:szCs w:val="18"/>
              </w:rPr>
              <w:t>invest</w:t>
            </w:r>
            <w:proofErr w:type="gramEnd"/>
            <w:r w:rsidRPr="00984CA7">
              <w:rPr>
                <w:rFonts w:ascii="Segoe UI" w:eastAsia="宋体" w:hAnsi="Segoe UI" w:cs="Segoe UI"/>
                <w:color w:val="000000"/>
                <w:kern w:val="0"/>
                <w:sz w:val="18"/>
                <w:szCs w:val="18"/>
              </w:rPr>
              <w:t xml:space="preserve"> in productivity-improving capital equipment.</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70" type="#_x0000_t75" style="width:20.25pt;height:15.75pt" o:ole="">
                  <v:imagedata r:id="rId9" o:title=""/>
                </v:shape>
                <w:control r:id="rId142" w:name="DefaultOcxName144" w:shapeid="_x0000_i147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w:t>
            </w:r>
            <w:proofErr w:type="gramStart"/>
            <w:r w:rsidRPr="00984CA7">
              <w:rPr>
                <w:rFonts w:ascii="Segoe UI" w:eastAsia="宋体" w:hAnsi="Segoe UI" w:cs="Segoe UI"/>
                <w:color w:val="000000"/>
                <w:kern w:val="0"/>
                <w:sz w:val="18"/>
                <w:szCs w:val="18"/>
              </w:rPr>
              <w:t>engage</w:t>
            </w:r>
            <w:proofErr w:type="gramEnd"/>
            <w:r w:rsidRPr="00984CA7">
              <w:rPr>
                <w:rFonts w:ascii="Segoe UI" w:eastAsia="宋体" w:hAnsi="Segoe UI" w:cs="Segoe UI"/>
                <w:color w:val="000000"/>
                <w:kern w:val="0"/>
                <w:sz w:val="18"/>
                <w:szCs w:val="18"/>
              </w:rPr>
              <w:t xml:space="preserve"> in defensive pricing when the competitive environment is one of high rivalry.</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69" type="#_x0000_t75" style="width:20.25pt;height:15.75pt" o:ole="">
                  <v:imagedata r:id="rId9" o:title=""/>
                </v:shape>
                <w:control r:id="rId143" w:name="DefaultOcxName244" w:shapeid="_x0000_i146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w:t>
            </w:r>
            <w:proofErr w:type="gramStart"/>
            <w:r w:rsidRPr="00984CA7">
              <w:rPr>
                <w:rFonts w:ascii="Segoe UI" w:eastAsia="宋体" w:hAnsi="Segoe UI" w:cs="Segoe UI"/>
                <w:color w:val="000000"/>
                <w:kern w:val="0"/>
                <w:sz w:val="18"/>
                <w:szCs w:val="18"/>
              </w:rPr>
              <w:t>establish</w:t>
            </w:r>
            <w:proofErr w:type="gramEnd"/>
            <w:r w:rsidRPr="00984CA7">
              <w:rPr>
                <w:rFonts w:ascii="Segoe UI" w:eastAsia="宋体" w:hAnsi="Segoe UI" w:cs="Segoe UI"/>
                <w:color w:val="000000"/>
                <w:kern w:val="0"/>
                <w:sz w:val="18"/>
                <w:szCs w:val="18"/>
              </w:rPr>
              <w:t xml:space="preserve"> strong market research teams to match customer needs with product development.</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9ACD32"/>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A</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lastRenderedPageBreak/>
              <w:br/>
              <w:t xml:space="preserve">"Introduction to Industry and Company Analysis," Patrick W. Dorsey, CFA, Anthony M. Fiore, CFA, and Ian </w:t>
            </w:r>
            <w:proofErr w:type="spellStart"/>
            <w:r w:rsidRPr="00984CA7">
              <w:rPr>
                <w:rFonts w:ascii="Segoe UI" w:eastAsia="宋体" w:hAnsi="Segoe UI" w:cs="Segoe UI"/>
                <w:color w:val="333333"/>
                <w:kern w:val="0"/>
                <w:sz w:val="18"/>
                <w:szCs w:val="18"/>
              </w:rPr>
              <w:t>Rossa</w:t>
            </w:r>
            <w:proofErr w:type="spellEnd"/>
            <w:r w:rsidRPr="00984CA7">
              <w:rPr>
                <w:rFonts w:ascii="Segoe UI" w:eastAsia="宋体" w:hAnsi="Segoe UI" w:cs="Segoe UI"/>
                <w:color w:val="333333"/>
                <w:kern w:val="0"/>
                <w:sz w:val="18"/>
                <w:szCs w:val="18"/>
              </w:rPr>
              <w:t xml:space="preserve"> O'Reilly, CFA </w:t>
            </w:r>
            <w:r w:rsidRPr="00984CA7">
              <w:rPr>
                <w:rFonts w:ascii="Segoe UI" w:eastAsia="宋体" w:hAnsi="Segoe UI" w:cs="Segoe UI"/>
                <w:color w:val="333333"/>
                <w:kern w:val="0"/>
                <w:sz w:val="18"/>
                <w:szCs w:val="18"/>
              </w:rPr>
              <w:br/>
              <w:t>2011 Modular Level I, Vol. 5, pp. 250–251</w:t>
            </w:r>
            <w:r w:rsidRPr="00984CA7">
              <w:rPr>
                <w:rFonts w:ascii="Segoe UI" w:eastAsia="宋体" w:hAnsi="Segoe UI" w:cs="Segoe UI"/>
                <w:color w:val="333333"/>
                <w:kern w:val="0"/>
                <w:sz w:val="18"/>
                <w:szCs w:val="18"/>
              </w:rPr>
              <w:br/>
              <w:t>Study Session 14–59–k</w:t>
            </w:r>
            <w:r w:rsidRPr="00984CA7">
              <w:rPr>
                <w:rFonts w:ascii="Segoe UI" w:eastAsia="宋体" w:hAnsi="Segoe UI" w:cs="Segoe UI"/>
                <w:color w:val="333333"/>
                <w:kern w:val="0"/>
                <w:sz w:val="18"/>
                <w:szCs w:val="18"/>
              </w:rPr>
              <w:br/>
              <w:t>Describe the elements that should be covered in a thorough company analysis.</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Companies pursuing cost leadership must be able to invest in productivity-improving capital equipment in order to be low-cost producers and maintain efficient operating systems.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772"/>
        <w:gridCol w:w="6961"/>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46</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Epsilon Inc., a U.S.-based company, is obligated to deliver 1,000,000,000 yen to its Japanese component supplier in 3 months. Epsilon approaches a dealer and enters into a USD/JPY currency forward contract with physical delivery to manage the foreign exchange risk associated with the cash flow. Which of these </w:t>
            </w:r>
            <w:r w:rsidRPr="00984CA7">
              <w:rPr>
                <w:rFonts w:ascii="Segoe UI" w:eastAsia="宋体" w:hAnsi="Segoe UI" w:cs="Segoe UI"/>
                <w:i/>
                <w:iCs/>
                <w:color w:val="333333"/>
                <w:kern w:val="0"/>
                <w:sz w:val="18"/>
                <w:szCs w:val="18"/>
              </w:rPr>
              <w:t>best</w:t>
            </w:r>
            <w:r w:rsidRPr="00984CA7">
              <w:rPr>
                <w:rFonts w:ascii="Segoe UI" w:eastAsia="宋体" w:hAnsi="Segoe UI" w:cs="Segoe UI"/>
                <w:color w:val="333333"/>
                <w:kern w:val="0"/>
                <w:sz w:val="18"/>
                <w:szCs w:val="18"/>
              </w:rPr>
              <w:t xml:space="preserve"> describes the currency forward contract?</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80" type="#_x0000_t75" style="width:20.25pt;height:15.75pt" o:ole="">
                  <v:imagedata r:id="rId7" o:title=""/>
                </v:shape>
                <w:control r:id="rId144" w:name="DefaultOcxName65" w:shapeid="_x0000_i148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The dealer will deliver yen on expiration.</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79" type="#_x0000_t75" style="width:20.25pt;height:15.75pt" o:ole="">
                  <v:imagedata r:id="rId9" o:title=""/>
                </v:shape>
                <w:control r:id="rId145" w:name="DefaultOcxName145" w:shapeid="_x0000_i147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Epsilon has the right but not the obligation to deliver USD.</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78" type="#_x0000_t75" style="width:20.25pt;height:15.75pt" o:ole="">
                  <v:imagedata r:id="rId9" o:title=""/>
                </v:shape>
                <w:control r:id="rId146" w:name="DefaultOcxName245" w:shapeid="_x0000_i147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The amount of USD exchanged for yen is determined on expiration.</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9ACD32"/>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A</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"Forward Markets and Contracts," Don M. Chance</w:t>
            </w:r>
            <w:r w:rsidRPr="00984CA7">
              <w:rPr>
                <w:rFonts w:ascii="Segoe UI" w:eastAsia="宋体" w:hAnsi="Segoe UI" w:cs="Segoe UI"/>
                <w:color w:val="333333"/>
                <w:kern w:val="0"/>
                <w:sz w:val="18"/>
                <w:szCs w:val="18"/>
              </w:rPr>
              <w:br/>
              <w:t>2011 Modular Level I, Vol. 6, pp. 43–44</w:t>
            </w:r>
            <w:r w:rsidRPr="00984CA7">
              <w:rPr>
                <w:rFonts w:ascii="Segoe UI" w:eastAsia="宋体" w:hAnsi="Segoe UI" w:cs="Segoe UI"/>
                <w:color w:val="333333"/>
                <w:kern w:val="0"/>
                <w:sz w:val="18"/>
                <w:szCs w:val="18"/>
              </w:rPr>
              <w:br/>
              <w:t>Study Session 17–69–h</w:t>
            </w:r>
            <w:r w:rsidRPr="00984CA7">
              <w:rPr>
                <w:rFonts w:ascii="Segoe UI" w:eastAsia="宋体" w:hAnsi="Segoe UI" w:cs="Segoe UI"/>
                <w:color w:val="333333"/>
                <w:kern w:val="0"/>
                <w:sz w:val="18"/>
                <w:szCs w:val="18"/>
              </w:rPr>
              <w:br/>
              <w:t>Describe the characteristics of currency forward contracts.</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A currency forward contract can settle in cash or with actual delivery of the foreign currencies specified in the contract. This question refers to physical delivery; therefore, Epsilon receives 1,000,000,000 JPY from the dealer in exchange for paying USD.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705"/>
        <w:gridCol w:w="7028"/>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47</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Which of the following options makes the following statement </w:t>
            </w:r>
            <w:r w:rsidRPr="00984CA7">
              <w:rPr>
                <w:rFonts w:ascii="Segoe UI" w:eastAsia="宋体" w:hAnsi="Segoe UI" w:cs="Segoe UI"/>
                <w:i/>
                <w:iCs/>
                <w:color w:val="333333"/>
                <w:kern w:val="0"/>
                <w:sz w:val="18"/>
                <w:szCs w:val="18"/>
              </w:rPr>
              <w:t>most accurate</w:t>
            </w:r>
            <w:r w:rsidRPr="00984CA7">
              <w:rPr>
                <w:rFonts w:ascii="Segoe UI" w:eastAsia="宋体" w:hAnsi="Segoe UI" w:cs="Segoe UI"/>
                <w:color w:val="333333"/>
                <w:kern w:val="0"/>
                <w:sz w:val="18"/>
                <w:szCs w:val="18"/>
              </w:rPr>
              <w:t>? The greater of either zero or the present value of the exercise price minus the underlying price is the lower bound on the price of a(n):</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89" type="#_x0000_t75" style="width:20.25pt;height:15.75pt" o:ole="">
                  <v:imagedata r:id="rId7" o:title=""/>
                </v:shape>
                <w:control r:id="rId147" w:name="DefaultOcxName66" w:shapeid="_x0000_i148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European put.</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88" type="#_x0000_t75" style="width:20.25pt;height:15.75pt" o:ole="">
                  <v:imagedata r:id="rId9" o:title=""/>
                </v:shape>
                <w:control r:id="rId148" w:name="DefaultOcxName146" w:shapeid="_x0000_i148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American put.</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87" type="#_x0000_t75" style="width:20.25pt;height:15.75pt" o:ole="">
                  <v:imagedata r:id="rId9" o:title=""/>
                </v:shape>
                <w:control r:id="rId149" w:name="DefaultOcxName246" w:shapeid="_x0000_i148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American call.</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9ACD32"/>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A</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"Option Markets and Contracts," Don M. Chance</w:t>
            </w:r>
            <w:r w:rsidRPr="00984CA7">
              <w:rPr>
                <w:rFonts w:ascii="Segoe UI" w:eastAsia="宋体" w:hAnsi="Segoe UI" w:cs="Segoe UI"/>
                <w:color w:val="333333"/>
                <w:kern w:val="0"/>
                <w:sz w:val="18"/>
                <w:szCs w:val="18"/>
              </w:rPr>
              <w:br/>
              <w:t>2011 Modular Level I, Vol. 6, pp. 103–107</w:t>
            </w:r>
            <w:r w:rsidRPr="00984CA7">
              <w:rPr>
                <w:rFonts w:ascii="Segoe UI" w:eastAsia="宋体" w:hAnsi="Segoe UI" w:cs="Segoe UI"/>
                <w:color w:val="333333"/>
                <w:kern w:val="0"/>
                <w:sz w:val="18"/>
                <w:szCs w:val="18"/>
              </w:rPr>
              <w:br/>
              <w:t>Study Session 17–71–k</w:t>
            </w:r>
            <w:r w:rsidRPr="00984CA7">
              <w:rPr>
                <w:rFonts w:ascii="Segoe UI" w:eastAsia="宋体" w:hAnsi="Segoe UI" w:cs="Segoe UI"/>
                <w:color w:val="333333"/>
                <w:kern w:val="0"/>
                <w:sz w:val="18"/>
                <w:szCs w:val="18"/>
              </w:rPr>
              <w:br/>
              <w:t>Calculate and interpret the lowest prices of European and American calls and puts based on the rules for minimum values and lower bounds.</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For a European put, the exercise price must be adjusted to the present value since the option can be exercised only on expiration.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745"/>
        <w:gridCol w:w="6988"/>
        <w:gridCol w:w="96"/>
        <w:gridCol w:w="96"/>
        <w:gridCol w:w="111"/>
      </w:tblGrid>
      <w:tr w:rsidR="00984CA7" w:rsidRPr="00984CA7" w:rsidTr="00984CA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84CA7" w:rsidRPr="00984CA7" w:rsidRDefault="00984CA7" w:rsidP="00984CA7">
            <w:pPr>
              <w:widowControl/>
              <w:jc w:val="left"/>
              <w:rPr>
                <w:rFonts w:ascii="Segoe UI" w:eastAsia="宋体" w:hAnsi="Segoe UI" w:cs="Segoe UI"/>
                <w:b/>
                <w:bCs/>
                <w:color w:val="000000"/>
                <w:kern w:val="0"/>
                <w:sz w:val="18"/>
                <w:szCs w:val="18"/>
              </w:rPr>
            </w:pPr>
            <w:r w:rsidRPr="00984CA7">
              <w:rPr>
                <w:rFonts w:ascii="Segoe UI" w:eastAsia="宋体" w:hAnsi="Segoe UI" w:cs="Segoe UI"/>
                <w:b/>
                <w:bCs/>
                <w:color w:val="000000"/>
                <w:kern w:val="0"/>
                <w:sz w:val="18"/>
                <w:szCs w:val="18"/>
              </w:rPr>
              <w:t>48</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xml:space="preserve">An investor executes a protective put strategy on ABC stock. At the time of execution, the price of ABC is $71. A $66 strike put option on ABC with </w:t>
            </w:r>
            <w:proofErr w:type="gramStart"/>
            <w:r w:rsidRPr="00984CA7">
              <w:rPr>
                <w:rFonts w:ascii="Segoe UI" w:eastAsia="宋体" w:hAnsi="Segoe UI" w:cs="Segoe UI"/>
                <w:color w:val="333333"/>
                <w:kern w:val="0"/>
                <w:sz w:val="18"/>
                <w:szCs w:val="18"/>
              </w:rPr>
              <w:t>a 2</w:t>
            </w:r>
            <w:proofErr w:type="gramEnd"/>
            <w:r w:rsidRPr="00984CA7">
              <w:rPr>
                <w:rFonts w:ascii="Segoe UI" w:eastAsia="宋体" w:hAnsi="Segoe UI" w:cs="Segoe UI"/>
                <w:color w:val="333333"/>
                <w:kern w:val="0"/>
                <w:sz w:val="18"/>
                <w:szCs w:val="18"/>
              </w:rPr>
              <w:t xml:space="preserve">-month expiration is trading at $1.45. The protective put strategy breaks even when the price of ABC is </w:t>
            </w:r>
            <w:r w:rsidRPr="00984CA7">
              <w:rPr>
                <w:rFonts w:ascii="Segoe UI" w:eastAsia="宋体" w:hAnsi="Segoe UI" w:cs="Segoe UI"/>
                <w:i/>
                <w:iCs/>
                <w:color w:val="333333"/>
                <w:kern w:val="0"/>
                <w:sz w:val="18"/>
                <w:szCs w:val="18"/>
              </w:rPr>
              <w:t>closest</w:t>
            </w:r>
            <w:r w:rsidRPr="00984CA7">
              <w:rPr>
                <w:rFonts w:ascii="Segoe UI" w:eastAsia="宋体" w:hAnsi="Segoe UI" w:cs="Segoe UI"/>
                <w:color w:val="333333"/>
                <w:kern w:val="0"/>
                <w:sz w:val="18"/>
                <w:szCs w:val="18"/>
              </w:rPr>
              <w:t xml:space="preserve"> to:</w:t>
            </w: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98" type="#_x0000_t75" style="width:20.25pt;height:15.75pt" o:ole="">
                  <v:imagedata r:id="rId7" o:title=""/>
                </v:shape>
                <w:control r:id="rId150" w:name="DefaultOcxName67" w:shapeid="_x0000_i149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A.</w:t>
            </w:r>
            <w:r w:rsidRPr="00984CA7">
              <w:rPr>
                <w:rFonts w:ascii="Segoe UI" w:eastAsia="宋体" w:hAnsi="Segoe UI" w:cs="Segoe UI"/>
                <w:color w:val="000000"/>
                <w:kern w:val="0"/>
                <w:sz w:val="18"/>
                <w:szCs w:val="18"/>
              </w:rPr>
              <w:t xml:space="preserve"> $67.45.</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97" type="#_x0000_t75" style="width:20.25pt;height:15.75pt" o:ole="">
                  <v:imagedata r:id="rId9" o:title=""/>
                </v:shape>
                <w:control r:id="rId151" w:name="DefaultOcxName147" w:shapeid="_x0000_i149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B.</w:t>
            </w:r>
            <w:r w:rsidRPr="00984CA7">
              <w:rPr>
                <w:rFonts w:ascii="Segoe UI" w:eastAsia="宋体" w:hAnsi="Segoe UI" w:cs="Segoe UI"/>
                <w:color w:val="000000"/>
                <w:kern w:val="0"/>
                <w:sz w:val="18"/>
                <w:szCs w:val="18"/>
              </w:rPr>
              <w:t xml:space="preserve"> $69.55.</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84CA7" w:rsidRPr="00984CA7" w:rsidRDefault="00984CA7" w:rsidP="00984CA7">
            <w:pPr>
              <w:widowControl/>
              <w:jc w:val="center"/>
              <w:rPr>
                <w:rFonts w:ascii="Segoe UI" w:eastAsia="宋体" w:hAnsi="Segoe UI" w:cs="Segoe UI"/>
                <w:color w:val="000000"/>
                <w:kern w:val="0"/>
                <w:sz w:val="18"/>
                <w:szCs w:val="18"/>
              </w:rPr>
            </w:pPr>
            <w:r w:rsidRPr="00984CA7">
              <w:rPr>
                <w:rFonts w:ascii="Segoe UI" w:eastAsia="宋体" w:hAnsi="Segoe UI" w:cs="Segoe UI"/>
                <w:color w:val="000000"/>
                <w:kern w:val="0"/>
                <w:sz w:val="18"/>
                <w:szCs w:val="18"/>
              </w:rPr>
              <w:object w:dxaOrig="1440" w:dyaOrig="1440">
                <v:shape id="_x0000_i1496" type="#_x0000_t75" style="width:20.25pt;height:15.75pt" o:ole="">
                  <v:imagedata r:id="rId9" o:title=""/>
                </v:shape>
                <w:control r:id="rId152" w:name="DefaultOcxName247" w:shapeid="_x0000_i149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84CA7" w:rsidRPr="00984CA7" w:rsidRDefault="00984CA7" w:rsidP="00984CA7">
            <w:pPr>
              <w:widowControl/>
              <w:jc w:val="left"/>
              <w:rPr>
                <w:rFonts w:ascii="Segoe UI" w:eastAsia="宋体" w:hAnsi="Segoe UI" w:cs="Segoe UI"/>
                <w:color w:val="000000"/>
                <w:kern w:val="0"/>
                <w:sz w:val="18"/>
                <w:szCs w:val="18"/>
              </w:rPr>
            </w:pPr>
            <w:r w:rsidRPr="00984CA7">
              <w:rPr>
                <w:rFonts w:ascii="Segoe UI" w:eastAsia="宋体" w:hAnsi="Segoe UI" w:cs="Segoe UI"/>
                <w:b/>
                <w:bCs/>
                <w:color w:val="000000"/>
                <w:kern w:val="0"/>
                <w:sz w:val="18"/>
                <w:szCs w:val="18"/>
              </w:rPr>
              <w:t>C.</w:t>
            </w:r>
            <w:r w:rsidRPr="00984CA7">
              <w:rPr>
                <w:rFonts w:ascii="Segoe UI" w:eastAsia="宋体" w:hAnsi="Segoe UI" w:cs="Segoe UI"/>
                <w:color w:val="000000"/>
                <w:kern w:val="0"/>
                <w:sz w:val="18"/>
                <w:szCs w:val="18"/>
              </w:rPr>
              <w:t xml:space="preserve"> $72.45.</w:t>
            </w: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c>
          <w:tcPr>
            <w:tcW w:w="0" w:type="auto"/>
            <w:vAlign w:val="center"/>
            <w:hideMark/>
          </w:tcPr>
          <w:p w:rsidR="00984CA7" w:rsidRPr="00984CA7" w:rsidRDefault="00984CA7" w:rsidP="00984CA7">
            <w:pPr>
              <w:widowControl/>
              <w:jc w:val="left"/>
              <w:rPr>
                <w:rFonts w:ascii="Times New Roman" w:eastAsia="Times New Roman" w:hAnsi="Times New Roman" w:cs="Times New Roman"/>
                <w:kern w:val="0"/>
                <w:sz w:val="20"/>
                <w:szCs w:val="20"/>
              </w:rPr>
            </w:pPr>
          </w:p>
        </w:tc>
      </w:tr>
      <w:tr w:rsidR="00984CA7" w:rsidRPr="00984CA7" w:rsidTr="00984CA7">
        <w:trPr>
          <w:trHeight w:val="525"/>
          <w:tblCellSpacing w:w="15" w:type="dxa"/>
        </w:trPr>
        <w:tc>
          <w:tcPr>
            <w:tcW w:w="375" w:type="dxa"/>
            <w:noWrap/>
            <w:vAlign w:val="center"/>
            <w:hideMark/>
          </w:tcPr>
          <w:p w:rsidR="00984CA7" w:rsidRPr="00984CA7" w:rsidRDefault="00984CA7" w:rsidP="00984CA7">
            <w:pPr>
              <w:widowControl/>
              <w:jc w:val="center"/>
              <w:rPr>
                <w:rFonts w:ascii="Segoe UI" w:eastAsia="宋体" w:hAnsi="Segoe UI" w:cs="Segoe UI"/>
                <w:color w:val="333333"/>
                <w:kern w:val="0"/>
                <w:sz w:val="18"/>
                <w:szCs w:val="18"/>
              </w:rPr>
            </w:pPr>
            <w:r w:rsidRPr="00984CA7">
              <w:rPr>
                <w:rFonts w:ascii="Segoe UI" w:eastAsia="宋体" w:hAnsi="Segoe UI" w:cs="Segoe UI"/>
                <w:color w:val="333333"/>
                <w:kern w:val="0"/>
                <w:sz w:val="18"/>
                <w:szCs w:val="18"/>
              </w:rPr>
              <w:t> </w:t>
            </w:r>
          </w:p>
        </w:tc>
        <w:tc>
          <w:tcPr>
            <w:tcW w:w="0" w:type="auto"/>
            <w:gridSpan w:val="5"/>
            <w:shd w:val="clear" w:color="auto" w:fill="FF6347"/>
            <w:vAlign w:val="center"/>
            <w:hideMark/>
          </w:tcPr>
          <w:p w:rsidR="00984CA7" w:rsidRPr="00984CA7" w:rsidRDefault="00984CA7" w:rsidP="00984CA7">
            <w:pPr>
              <w:widowControl/>
              <w:jc w:val="left"/>
              <w:rPr>
                <w:rFonts w:ascii="Segoe UI" w:eastAsia="宋体" w:hAnsi="Segoe UI" w:cs="Segoe UI"/>
                <w:color w:val="333333"/>
                <w:kern w:val="0"/>
                <w:sz w:val="18"/>
                <w:szCs w:val="18"/>
              </w:rPr>
            </w:pPr>
            <w:r w:rsidRPr="00984CA7">
              <w:rPr>
                <w:rFonts w:ascii="Segoe UI" w:eastAsia="宋体" w:hAnsi="Segoe UI" w:cs="Segoe UI"/>
                <w:b/>
                <w:bCs/>
                <w:color w:val="000080"/>
                <w:kern w:val="0"/>
                <w:sz w:val="16"/>
                <w:szCs w:val="16"/>
              </w:rPr>
              <w:t>Feedback:</w:t>
            </w:r>
            <w:r w:rsidRPr="00984CA7">
              <w:rPr>
                <w:rFonts w:ascii="Segoe UI" w:eastAsia="宋体" w:hAnsi="Segoe UI" w:cs="Segoe UI"/>
                <w:color w:val="333333"/>
                <w:kern w:val="0"/>
                <w:sz w:val="18"/>
                <w:szCs w:val="18"/>
              </w:rPr>
              <w:t xml:space="preserve"> You have answered incorrectly.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 xml:space="preserve">Correct answer: </w:t>
            </w:r>
            <w:r w:rsidRPr="00984CA7">
              <w:rPr>
                <w:rFonts w:ascii="Segoe UI" w:eastAsia="宋体" w:hAnsi="Segoe UI" w:cs="Segoe UI"/>
                <w:b/>
                <w:bCs/>
                <w:color w:val="333333"/>
                <w:kern w:val="0"/>
                <w:sz w:val="18"/>
                <w:szCs w:val="18"/>
              </w:rPr>
              <w:t>C</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"Risk Management Applications of Option Strategies," Don M. Chance</w:t>
            </w:r>
            <w:r w:rsidRPr="00984CA7">
              <w:rPr>
                <w:rFonts w:ascii="Segoe UI" w:eastAsia="宋体" w:hAnsi="Segoe UI" w:cs="Segoe UI"/>
                <w:color w:val="333333"/>
                <w:kern w:val="0"/>
                <w:sz w:val="18"/>
                <w:szCs w:val="18"/>
              </w:rPr>
              <w:br/>
              <w:t>2011 Modular Level I, Vol. 6, pp. 172–175</w:t>
            </w:r>
            <w:r w:rsidRPr="00984CA7">
              <w:rPr>
                <w:rFonts w:ascii="Segoe UI" w:eastAsia="宋体" w:hAnsi="Segoe UI" w:cs="Segoe UI"/>
                <w:color w:val="333333"/>
                <w:kern w:val="0"/>
                <w:sz w:val="18"/>
                <w:szCs w:val="18"/>
              </w:rPr>
              <w:br/>
              <w:t>Study Session 17–73–b</w:t>
            </w:r>
            <w:r w:rsidRPr="00984CA7">
              <w:rPr>
                <w:rFonts w:ascii="Segoe UI" w:eastAsia="宋体" w:hAnsi="Segoe UI" w:cs="Segoe UI"/>
                <w:color w:val="333333"/>
                <w:kern w:val="0"/>
                <w:sz w:val="18"/>
                <w:szCs w:val="18"/>
              </w:rPr>
              <w:br/>
              <w:t>Determine the value at expiration, profit, maximum profit, maximum loss, breakeven underlying price at expiration, and general shape of the graph of a covered call strategy and a protective put strategy, and explain the risk management application of each strategy.</w:t>
            </w:r>
            <w:r w:rsidRPr="00984CA7">
              <w:rPr>
                <w:rFonts w:ascii="Segoe UI" w:eastAsia="宋体" w:hAnsi="Segoe UI" w:cs="Segoe UI"/>
                <w:color w:val="333333"/>
                <w:kern w:val="0"/>
                <w:sz w:val="18"/>
                <w:szCs w:val="18"/>
              </w:rPr>
              <w:br/>
            </w:r>
            <w:r w:rsidRPr="00984CA7">
              <w:rPr>
                <w:rFonts w:ascii="Segoe UI" w:eastAsia="宋体" w:hAnsi="Segoe UI" w:cs="Segoe UI"/>
                <w:color w:val="333333"/>
                <w:kern w:val="0"/>
                <w:sz w:val="18"/>
                <w:szCs w:val="18"/>
              </w:rPr>
              <w:br/>
              <w:t>To break even, the underlying stock must be at least as high as the amount expended up front to establish the position. To establish the protective put, the investor would have spent $71 + $1.45 = $72.45. </w:t>
            </w:r>
          </w:p>
        </w:tc>
      </w:tr>
    </w:tbl>
    <w:p w:rsidR="00984CA7" w:rsidRDefault="00984CA7">
      <w:pPr>
        <w:rPr>
          <w:rFonts w:hint="eastAsia"/>
        </w:rPr>
      </w:pPr>
    </w:p>
    <w:tbl>
      <w:tblPr>
        <w:tblW w:w="5000" w:type="pct"/>
        <w:tblCellSpacing w:w="15" w:type="dxa"/>
        <w:tblCellMar>
          <w:top w:w="30" w:type="dxa"/>
          <w:left w:w="30" w:type="dxa"/>
          <w:bottom w:w="30" w:type="dxa"/>
          <w:right w:w="30" w:type="dxa"/>
        </w:tblCellMar>
        <w:tblLook w:val="04A0"/>
      </w:tblPr>
      <w:tblGrid>
        <w:gridCol w:w="420"/>
        <w:gridCol w:w="709"/>
        <w:gridCol w:w="7024"/>
        <w:gridCol w:w="96"/>
        <w:gridCol w:w="96"/>
        <w:gridCol w:w="111"/>
      </w:tblGrid>
      <w:tr w:rsidR="000F14CA" w:rsidRPr="000F14CA" w:rsidTr="000F14CA">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0F14CA" w:rsidRPr="000F14CA" w:rsidRDefault="000F14CA" w:rsidP="000F14CA">
            <w:pPr>
              <w:widowControl/>
              <w:jc w:val="left"/>
              <w:rPr>
                <w:rFonts w:ascii="Segoe UI" w:eastAsia="宋体" w:hAnsi="Segoe UI" w:cs="Segoe UI"/>
                <w:b/>
                <w:bCs/>
                <w:color w:val="000000"/>
                <w:kern w:val="0"/>
                <w:sz w:val="18"/>
                <w:szCs w:val="18"/>
              </w:rPr>
            </w:pPr>
            <w:r w:rsidRPr="000F14CA">
              <w:rPr>
                <w:rFonts w:ascii="Segoe UI" w:eastAsia="宋体" w:hAnsi="Segoe UI" w:cs="Segoe UI"/>
                <w:b/>
                <w:bCs/>
                <w:color w:val="000000"/>
                <w:kern w:val="0"/>
                <w:sz w:val="18"/>
                <w:szCs w:val="18"/>
              </w:rPr>
              <w:t>49</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An analyst is evaluating an investment in an apartment complex based on the following annual data:</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88"/>
              <w:gridCol w:w="2097"/>
            </w:tblGrid>
            <w:tr w:rsidR="000F14CA" w:rsidRPr="000F14CA">
              <w:trPr>
                <w:tblCellSpacing w:w="15" w:type="dxa"/>
              </w:trPr>
              <w:tc>
                <w:tcPr>
                  <w:tcW w:w="39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Gross rental income</w:t>
                  </w:r>
                </w:p>
              </w:tc>
              <w:tc>
                <w:tcPr>
                  <w:tcW w:w="141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$2,100,00</w:t>
                  </w:r>
                </w:p>
              </w:tc>
            </w:tr>
            <w:tr w:rsidR="000F14CA" w:rsidRPr="000F14CA">
              <w:trPr>
                <w:tblCellSpacing w:w="15" w:type="dxa"/>
              </w:trPr>
              <w:tc>
                <w:tcPr>
                  <w:tcW w:w="39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Estimated vacancy and collection expenses</w:t>
                  </w:r>
                </w:p>
              </w:tc>
              <w:tc>
                <w:tcPr>
                  <w:tcW w:w="141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3%</w:t>
                  </w:r>
                </w:p>
              </w:tc>
            </w:tr>
            <w:tr w:rsidR="000F14CA" w:rsidRPr="000F14CA">
              <w:trPr>
                <w:tblCellSpacing w:w="15" w:type="dxa"/>
              </w:trPr>
              <w:tc>
                <w:tcPr>
                  <w:tcW w:w="39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Operating expenses</w:t>
                  </w:r>
                </w:p>
              </w:tc>
              <w:tc>
                <w:tcPr>
                  <w:tcW w:w="141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$1,600,00</w:t>
                  </w:r>
                </w:p>
              </w:tc>
            </w:tr>
            <w:tr w:rsidR="000F14CA" w:rsidRPr="000F14CA">
              <w:trPr>
                <w:tblCellSpacing w:w="15" w:type="dxa"/>
              </w:trPr>
              <w:tc>
                <w:tcPr>
                  <w:tcW w:w="39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Depreciation</w:t>
                  </w:r>
                </w:p>
              </w:tc>
              <w:tc>
                <w:tcPr>
                  <w:tcW w:w="141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300,00</w:t>
                  </w:r>
                </w:p>
              </w:tc>
            </w:tr>
            <w:tr w:rsidR="000F14CA" w:rsidRPr="000F14CA">
              <w:trPr>
                <w:tblCellSpacing w:w="15" w:type="dxa"/>
              </w:trPr>
              <w:tc>
                <w:tcPr>
                  <w:tcW w:w="39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Current mortgage rate</w:t>
                  </w:r>
                </w:p>
              </w:tc>
              <w:tc>
                <w:tcPr>
                  <w:tcW w:w="141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w:t>
                  </w:r>
                </w:p>
              </w:tc>
            </w:tr>
            <w:tr w:rsidR="000F14CA" w:rsidRPr="000F14CA">
              <w:trPr>
                <w:tblCellSpacing w:w="15" w:type="dxa"/>
              </w:trPr>
              <w:tc>
                <w:tcPr>
                  <w:tcW w:w="39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Financing percentage</w:t>
                  </w:r>
                </w:p>
              </w:tc>
              <w:tc>
                <w:tcPr>
                  <w:tcW w:w="141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80%</w:t>
                  </w:r>
                </w:p>
              </w:tc>
            </w:tr>
            <w:tr w:rsidR="000F14CA" w:rsidRPr="000F14CA">
              <w:trPr>
                <w:tblCellSpacing w:w="15" w:type="dxa"/>
              </w:trPr>
              <w:tc>
                <w:tcPr>
                  <w:tcW w:w="39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Capitalization rate</w:t>
                  </w:r>
                </w:p>
              </w:tc>
              <w:tc>
                <w:tcPr>
                  <w:tcW w:w="141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12%</w:t>
                  </w:r>
                </w:p>
              </w:tc>
            </w:tr>
            <w:tr w:rsidR="000F14CA" w:rsidRPr="000F14CA">
              <w:trPr>
                <w:tblCellSpacing w:w="15" w:type="dxa"/>
              </w:trPr>
              <w:tc>
                <w:tcPr>
                  <w:tcW w:w="39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Cost of equity</w:t>
                  </w:r>
                </w:p>
              </w:tc>
              <w:tc>
                <w:tcPr>
                  <w:tcW w:w="141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15%</w:t>
                  </w:r>
                </w:p>
              </w:tc>
            </w:tr>
          </w:tbl>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br/>
              <w:t xml:space="preserve">Based on the income approach, the value of the investment is </w:t>
            </w:r>
            <w:r w:rsidRPr="000F14CA">
              <w:rPr>
                <w:rFonts w:ascii="Segoe UI" w:eastAsia="宋体" w:hAnsi="Segoe UI" w:cs="Segoe UI"/>
                <w:i/>
                <w:iCs/>
                <w:color w:val="333333"/>
                <w:kern w:val="0"/>
                <w:sz w:val="18"/>
                <w:szCs w:val="18"/>
              </w:rPr>
              <w:t>closest</w:t>
            </w:r>
            <w:r w:rsidRPr="000F14CA">
              <w:rPr>
                <w:rFonts w:ascii="Segoe UI" w:eastAsia="宋体" w:hAnsi="Segoe UI" w:cs="Segoe UI"/>
                <w:color w:val="333333"/>
                <w:kern w:val="0"/>
                <w:sz w:val="18"/>
                <w:szCs w:val="18"/>
              </w:rPr>
              <w:t xml:space="preserve"> to:</w:t>
            </w: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07" type="#_x0000_t75" style="width:20.25pt;height:15.75pt" o:ole="">
                  <v:imagedata r:id="rId7" o:title=""/>
                </v:shape>
                <w:control r:id="rId153" w:name="DefaultOcxName68" w:shapeid="_x0000_i150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A.</w:t>
            </w:r>
            <w:r w:rsidRPr="000F14CA">
              <w:rPr>
                <w:rFonts w:ascii="Segoe UI" w:eastAsia="宋体" w:hAnsi="Segoe UI" w:cs="Segoe UI"/>
                <w:color w:val="000000"/>
                <w:kern w:val="0"/>
                <w:sz w:val="18"/>
                <w:szCs w:val="18"/>
              </w:rPr>
              <w:t xml:space="preserve"> $1,141,667.</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06" type="#_x0000_t75" style="width:20.25pt;height:15.75pt" o:ole="">
                  <v:imagedata r:id="rId9" o:title=""/>
                </v:shape>
                <w:control r:id="rId154" w:name="DefaultOcxName148" w:shapeid="_x0000_i150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B.</w:t>
            </w:r>
            <w:r w:rsidRPr="000F14CA">
              <w:rPr>
                <w:rFonts w:ascii="Segoe UI" w:eastAsia="宋体" w:hAnsi="Segoe UI" w:cs="Segoe UI"/>
                <w:color w:val="000000"/>
                <w:kern w:val="0"/>
                <w:sz w:val="18"/>
                <w:szCs w:val="18"/>
              </w:rPr>
              <w:t xml:space="preserve"> $3,641,667.</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05" type="#_x0000_t75" style="width:20.25pt;height:15.75pt" o:ole="">
                  <v:imagedata r:id="rId9" o:title=""/>
                </v:shape>
                <w:control r:id="rId155" w:name="DefaultOcxName248" w:shapeid="_x0000_i150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C.</w:t>
            </w:r>
            <w:r w:rsidRPr="000F14CA">
              <w:rPr>
                <w:rFonts w:ascii="Segoe UI" w:eastAsia="宋体" w:hAnsi="Segoe UI" w:cs="Segoe UI"/>
                <w:color w:val="000000"/>
                <w:kern w:val="0"/>
                <w:sz w:val="18"/>
                <w:szCs w:val="18"/>
              </w:rPr>
              <w:t xml:space="preserve"> $6,242,857.</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noWrap/>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0" w:type="auto"/>
            <w:gridSpan w:val="5"/>
            <w:shd w:val="clear" w:color="auto" w:fill="FF6347"/>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000080"/>
                <w:kern w:val="0"/>
                <w:sz w:val="16"/>
                <w:szCs w:val="16"/>
              </w:rPr>
              <w:t>Feedback:</w:t>
            </w:r>
            <w:r w:rsidRPr="000F14CA">
              <w:rPr>
                <w:rFonts w:ascii="Segoe UI" w:eastAsia="宋体" w:hAnsi="Segoe UI" w:cs="Segoe UI"/>
                <w:color w:val="333333"/>
                <w:kern w:val="0"/>
                <w:sz w:val="18"/>
                <w:szCs w:val="18"/>
              </w:rPr>
              <w:t xml:space="preserve"> You have answered incorrectly.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Correct answer: </w:t>
            </w:r>
            <w:r w:rsidRPr="000F14CA">
              <w:rPr>
                <w:rFonts w:ascii="Segoe UI" w:eastAsia="宋体" w:hAnsi="Segoe UI" w:cs="Segoe UI"/>
                <w:b/>
                <w:bCs/>
                <w:color w:val="333333"/>
                <w:kern w:val="0"/>
                <w:sz w:val="18"/>
                <w:szCs w:val="18"/>
              </w:rPr>
              <w:t>B</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"Alternative Investments," Bruno </w:t>
            </w:r>
            <w:proofErr w:type="spellStart"/>
            <w:r w:rsidRPr="000F14CA">
              <w:rPr>
                <w:rFonts w:ascii="Segoe UI" w:eastAsia="宋体" w:hAnsi="Segoe UI" w:cs="Segoe UI"/>
                <w:color w:val="333333"/>
                <w:kern w:val="0"/>
                <w:sz w:val="18"/>
                <w:szCs w:val="18"/>
              </w:rPr>
              <w:t>Solnik</w:t>
            </w:r>
            <w:proofErr w:type="spellEnd"/>
            <w:r w:rsidRPr="000F14CA">
              <w:rPr>
                <w:rFonts w:ascii="Segoe UI" w:eastAsia="宋体" w:hAnsi="Segoe UI" w:cs="Segoe UI"/>
                <w:color w:val="333333"/>
                <w:kern w:val="0"/>
                <w:sz w:val="18"/>
                <w:szCs w:val="18"/>
              </w:rPr>
              <w:t xml:space="preserve"> and Dennis </w:t>
            </w:r>
            <w:proofErr w:type="spellStart"/>
            <w:r w:rsidRPr="000F14CA">
              <w:rPr>
                <w:rFonts w:ascii="Segoe UI" w:eastAsia="宋体" w:hAnsi="Segoe UI" w:cs="Segoe UI"/>
                <w:color w:val="333333"/>
                <w:kern w:val="0"/>
                <w:sz w:val="18"/>
                <w:szCs w:val="18"/>
              </w:rPr>
              <w:t>McLeavey</w:t>
            </w:r>
            <w:proofErr w:type="spellEnd"/>
            <w:r w:rsidRPr="000F14CA">
              <w:rPr>
                <w:rFonts w:ascii="Segoe UI" w:eastAsia="宋体" w:hAnsi="Segoe UI" w:cs="Segoe UI"/>
                <w:color w:val="333333"/>
                <w:kern w:val="0"/>
                <w:sz w:val="18"/>
                <w:szCs w:val="18"/>
              </w:rPr>
              <w:br/>
              <w:t>2011 Modular Level I, Vol. 6, pp. 205–207</w:t>
            </w:r>
            <w:r w:rsidRPr="000F14CA">
              <w:rPr>
                <w:rFonts w:ascii="Segoe UI" w:eastAsia="宋体" w:hAnsi="Segoe UI" w:cs="Segoe UI"/>
                <w:color w:val="333333"/>
                <w:kern w:val="0"/>
                <w:sz w:val="18"/>
                <w:szCs w:val="18"/>
              </w:rPr>
              <w:br/>
              <w:t>Study Session 18–74–f</w:t>
            </w:r>
            <w:r w:rsidRPr="000F14CA">
              <w:rPr>
                <w:rFonts w:ascii="Segoe UI" w:eastAsia="宋体" w:hAnsi="Segoe UI" w:cs="Segoe UI"/>
                <w:color w:val="333333"/>
                <w:kern w:val="0"/>
                <w:sz w:val="18"/>
                <w:szCs w:val="18"/>
              </w:rPr>
              <w:br/>
              <w:t>Calculate the net operating income (NOI) from a real estate investment, the value of a property using the sales comparison and income approaches, and the after-tax cash flows, net present value, and yield of a real estate investment.</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Using the income approach</w:t>
            </w:r>
            <w:proofErr w:type="gramStart"/>
            <w:r w:rsidRPr="000F14CA">
              <w:rPr>
                <w:rFonts w:ascii="Segoe UI" w:eastAsia="宋体" w:hAnsi="Segoe UI" w:cs="Segoe UI"/>
                <w:color w:val="333333"/>
                <w:kern w:val="0"/>
                <w:sz w:val="18"/>
                <w:szCs w:val="18"/>
              </w:rPr>
              <w:t>:</w:t>
            </w:r>
            <w:proofErr w:type="gramEnd"/>
            <w:r w:rsidRPr="000F14CA">
              <w:rPr>
                <w:rFonts w:ascii="Segoe UI" w:eastAsia="宋体" w:hAnsi="Segoe UI" w:cs="Segoe UI"/>
                <w:color w:val="333333"/>
                <w:kern w:val="0"/>
                <w:sz w:val="18"/>
                <w:szCs w:val="18"/>
              </w:rPr>
              <w:br/>
              <w:t>($2,100,000 – 0.03 × 2,100,000 – $1,600,000) / 0.12 = $437,000 / 0.12 = $3,641,666.70.</w:t>
            </w:r>
            <w:r w:rsidRPr="000F14CA">
              <w:rPr>
                <w:rFonts w:ascii="Segoe UI" w:eastAsia="宋体" w:hAnsi="Segoe UI" w:cs="Segoe UI"/>
                <w:color w:val="333333"/>
                <w:kern w:val="0"/>
                <w:sz w:val="18"/>
                <w:szCs w:val="18"/>
              </w:rPr>
              <w:br/>
              <w:t>The property is appraised based on cash flows and is independent of the financing decision.</w:t>
            </w:r>
            <w:r w:rsidRPr="000F14CA">
              <w:rPr>
                <w:rFonts w:ascii="Segoe UI" w:eastAsia="宋体" w:hAnsi="Segoe UI" w:cs="Segoe UI"/>
                <w:color w:val="333333"/>
                <w:kern w:val="0"/>
                <w:sz w:val="18"/>
                <w:szCs w:val="18"/>
              </w:rPr>
              <w:br/>
              <w:t> </w:t>
            </w:r>
          </w:p>
        </w:tc>
      </w:tr>
    </w:tbl>
    <w:p w:rsidR="000F14CA" w:rsidRDefault="000F14CA">
      <w:pPr>
        <w:rPr>
          <w:rFonts w:hint="eastAsia"/>
        </w:rPr>
      </w:pPr>
    </w:p>
    <w:tbl>
      <w:tblPr>
        <w:tblW w:w="5000" w:type="pct"/>
        <w:tblCellSpacing w:w="15" w:type="dxa"/>
        <w:tblCellMar>
          <w:top w:w="30" w:type="dxa"/>
          <w:left w:w="30" w:type="dxa"/>
          <w:bottom w:w="30" w:type="dxa"/>
          <w:right w:w="30" w:type="dxa"/>
        </w:tblCellMar>
        <w:tblLook w:val="04A0"/>
      </w:tblPr>
      <w:tblGrid>
        <w:gridCol w:w="420"/>
        <w:gridCol w:w="664"/>
        <w:gridCol w:w="7069"/>
        <w:gridCol w:w="96"/>
        <w:gridCol w:w="96"/>
        <w:gridCol w:w="111"/>
      </w:tblGrid>
      <w:tr w:rsidR="000F14CA" w:rsidRPr="000F14CA" w:rsidTr="000F14CA">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0F14CA" w:rsidRPr="000F14CA" w:rsidRDefault="000F14CA" w:rsidP="000F14CA">
            <w:pPr>
              <w:widowControl/>
              <w:jc w:val="left"/>
              <w:rPr>
                <w:rFonts w:ascii="Segoe UI" w:eastAsia="宋体" w:hAnsi="Segoe UI" w:cs="Segoe UI"/>
                <w:b/>
                <w:bCs/>
                <w:color w:val="000000"/>
                <w:kern w:val="0"/>
                <w:sz w:val="18"/>
                <w:szCs w:val="18"/>
              </w:rPr>
            </w:pPr>
            <w:r w:rsidRPr="000F14CA">
              <w:rPr>
                <w:rFonts w:ascii="Segoe UI" w:eastAsia="宋体" w:hAnsi="Segoe UI" w:cs="Segoe UI"/>
                <w:b/>
                <w:bCs/>
                <w:color w:val="000000"/>
                <w:kern w:val="0"/>
                <w:sz w:val="18"/>
                <w:szCs w:val="18"/>
              </w:rPr>
              <w:t>50</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A project that requires an initial investment of €5 million is expected to pay €22 million at the end of 5 years if it is successful. The probabilities of failure for the project are provided below:</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0"/>
              <w:gridCol w:w="1318"/>
              <w:gridCol w:w="1282"/>
              <w:gridCol w:w="1228"/>
              <w:gridCol w:w="1336"/>
              <w:gridCol w:w="1351"/>
            </w:tblGrid>
            <w:tr w:rsidR="000F14CA" w:rsidRPr="000F14CA">
              <w:trPr>
                <w:tblCellSpacing w:w="15"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Year</w:t>
                  </w:r>
                </w:p>
              </w:tc>
              <w:tc>
                <w:tcPr>
                  <w:tcW w:w="106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1</w:t>
                  </w:r>
                </w:p>
              </w:tc>
              <w:tc>
                <w:tcPr>
                  <w:tcW w:w="103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2</w:t>
                  </w:r>
                </w:p>
              </w:tc>
              <w:tc>
                <w:tcPr>
                  <w:tcW w:w="99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3</w:t>
                  </w:r>
                </w:p>
              </w:tc>
              <w:tc>
                <w:tcPr>
                  <w:tcW w:w="108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4</w:t>
                  </w:r>
                </w:p>
              </w:tc>
              <w:tc>
                <w:tcPr>
                  <w:tcW w:w="108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w:t>
                  </w:r>
                </w:p>
              </w:tc>
            </w:tr>
            <w:tr w:rsidR="000F14CA" w:rsidRPr="000F14CA">
              <w:trPr>
                <w:tblCellSpacing w:w="15"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Failure</w:t>
                  </w:r>
                </w:p>
              </w:tc>
              <w:tc>
                <w:tcPr>
                  <w:tcW w:w="106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0.2</w:t>
                  </w:r>
                </w:p>
              </w:tc>
              <w:tc>
                <w:tcPr>
                  <w:tcW w:w="103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0.2</w:t>
                  </w:r>
                </w:p>
              </w:tc>
              <w:tc>
                <w:tcPr>
                  <w:tcW w:w="99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0.1</w:t>
                  </w:r>
                </w:p>
              </w:tc>
              <w:tc>
                <w:tcPr>
                  <w:tcW w:w="108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0.1</w:t>
                  </w:r>
                </w:p>
              </w:tc>
              <w:tc>
                <w:tcPr>
                  <w:tcW w:w="108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0.1</w:t>
                  </w:r>
                </w:p>
              </w:tc>
            </w:tr>
            <w:tr w:rsidR="000F14CA" w:rsidRPr="000F14CA">
              <w:trPr>
                <w:tblCellSpacing w:w="15"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lastRenderedPageBreak/>
                    <w:t>Probability</w:t>
                  </w:r>
                </w:p>
              </w:tc>
              <w:tc>
                <w:tcPr>
                  <w:tcW w:w="106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w:t>
                  </w:r>
                </w:p>
              </w:tc>
              <w:tc>
                <w:tcPr>
                  <w:tcW w:w="103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0</w:t>
                  </w:r>
                </w:p>
              </w:tc>
              <w:tc>
                <w:tcPr>
                  <w:tcW w:w="99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w:t>
                  </w:r>
                </w:p>
              </w:tc>
              <w:tc>
                <w:tcPr>
                  <w:tcW w:w="108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w:t>
                  </w:r>
                </w:p>
              </w:tc>
              <w:tc>
                <w:tcPr>
                  <w:tcW w:w="108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w:t>
                  </w:r>
                </w:p>
              </w:tc>
            </w:tr>
          </w:tbl>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br/>
              <w:t xml:space="preserve">Assuming the cost of capital for the project is 16 percent, the project’s expected net present value is </w:t>
            </w:r>
            <w:r w:rsidRPr="000F14CA">
              <w:rPr>
                <w:rFonts w:ascii="Segoe UI" w:eastAsia="宋体" w:hAnsi="Segoe UI" w:cs="Segoe UI"/>
                <w:i/>
                <w:iCs/>
                <w:color w:val="333333"/>
                <w:kern w:val="0"/>
                <w:sz w:val="18"/>
                <w:szCs w:val="18"/>
              </w:rPr>
              <w:t>closest</w:t>
            </w:r>
            <w:r w:rsidRPr="000F14CA">
              <w:rPr>
                <w:rFonts w:ascii="Segoe UI" w:eastAsia="宋体" w:hAnsi="Segoe UI" w:cs="Segoe UI"/>
                <w:color w:val="333333"/>
                <w:kern w:val="0"/>
                <w:sz w:val="18"/>
                <w:szCs w:val="18"/>
              </w:rPr>
              <w:t xml:space="preserve"> to:</w:t>
            </w: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16" type="#_x0000_t75" style="width:20.25pt;height:15.75pt" o:ole="">
                  <v:imagedata r:id="rId7" o:title=""/>
                </v:shape>
                <w:control r:id="rId156" w:name="DefaultOcxName69" w:shapeid="_x0000_i151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A.</w:t>
            </w:r>
            <w:r w:rsidRPr="000F14CA">
              <w:rPr>
                <w:rFonts w:ascii="Segoe UI" w:eastAsia="宋体" w:hAnsi="Segoe UI" w:cs="Segoe UI"/>
                <w:color w:val="000000"/>
                <w:kern w:val="0"/>
                <w:sz w:val="18"/>
                <w:szCs w:val="18"/>
              </w:rPr>
              <w:t xml:space="preserve"> –€3,157,000.</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15" type="#_x0000_t75" style="width:20.25pt;height:15.75pt" o:ole="">
                  <v:imagedata r:id="rId9" o:title=""/>
                </v:shape>
                <w:control r:id="rId157" w:name="DefaultOcxName149" w:shapeid="_x0000_i151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B.</w:t>
            </w:r>
            <w:r w:rsidRPr="000F14CA">
              <w:rPr>
                <w:rFonts w:ascii="Segoe UI" w:eastAsia="宋体" w:hAnsi="Segoe UI" w:cs="Segoe UI"/>
                <w:color w:val="000000"/>
                <w:kern w:val="0"/>
                <w:sz w:val="18"/>
                <w:szCs w:val="18"/>
              </w:rPr>
              <w:t xml:space="preserve"> –€1,140,000.</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14" type="#_x0000_t75" style="width:20.25pt;height:15.75pt" o:ole="">
                  <v:imagedata r:id="rId9" o:title=""/>
                </v:shape>
                <w:control r:id="rId158" w:name="DefaultOcxName249" w:shapeid="_x0000_i151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C.</w:t>
            </w:r>
            <w:r w:rsidRPr="000F14CA">
              <w:rPr>
                <w:rFonts w:ascii="Segoe UI" w:eastAsia="宋体" w:hAnsi="Segoe UI" w:cs="Segoe UI"/>
                <w:color w:val="000000"/>
                <w:kern w:val="0"/>
                <w:sz w:val="18"/>
                <w:szCs w:val="18"/>
              </w:rPr>
              <w:t xml:space="preserve"> €2,017,000.</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noWrap/>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0" w:type="auto"/>
            <w:gridSpan w:val="5"/>
            <w:shd w:val="clear" w:color="auto" w:fill="FF6347"/>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000080"/>
                <w:kern w:val="0"/>
                <w:sz w:val="16"/>
                <w:szCs w:val="16"/>
              </w:rPr>
              <w:t>Feedback:</w:t>
            </w:r>
            <w:r w:rsidRPr="000F14CA">
              <w:rPr>
                <w:rFonts w:ascii="Segoe UI" w:eastAsia="宋体" w:hAnsi="Segoe UI" w:cs="Segoe UI"/>
                <w:color w:val="333333"/>
                <w:kern w:val="0"/>
                <w:sz w:val="18"/>
                <w:szCs w:val="18"/>
              </w:rPr>
              <w:t xml:space="preserve"> You have answered incorrectly.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Correct answer: </w:t>
            </w:r>
            <w:r w:rsidRPr="000F14CA">
              <w:rPr>
                <w:rFonts w:ascii="Segoe UI" w:eastAsia="宋体" w:hAnsi="Segoe UI" w:cs="Segoe UI"/>
                <w:b/>
                <w:bCs/>
                <w:color w:val="333333"/>
                <w:kern w:val="0"/>
                <w:sz w:val="18"/>
                <w:szCs w:val="18"/>
              </w:rPr>
              <w:t>B</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"Alternative Investments," Bruno </w:t>
            </w:r>
            <w:proofErr w:type="spellStart"/>
            <w:r w:rsidRPr="000F14CA">
              <w:rPr>
                <w:rFonts w:ascii="Segoe UI" w:eastAsia="宋体" w:hAnsi="Segoe UI" w:cs="Segoe UI"/>
                <w:color w:val="333333"/>
                <w:kern w:val="0"/>
                <w:sz w:val="18"/>
                <w:szCs w:val="18"/>
              </w:rPr>
              <w:t>Solnik</w:t>
            </w:r>
            <w:proofErr w:type="spellEnd"/>
            <w:r w:rsidRPr="000F14CA">
              <w:rPr>
                <w:rFonts w:ascii="Segoe UI" w:eastAsia="宋体" w:hAnsi="Segoe UI" w:cs="Segoe UI"/>
                <w:color w:val="333333"/>
                <w:kern w:val="0"/>
                <w:sz w:val="18"/>
                <w:szCs w:val="18"/>
              </w:rPr>
              <w:t xml:space="preserve"> and Dennis </w:t>
            </w:r>
            <w:proofErr w:type="spellStart"/>
            <w:r w:rsidRPr="000F14CA">
              <w:rPr>
                <w:rFonts w:ascii="Segoe UI" w:eastAsia="宋体" w:hAnsi="Segoe UI" w:cs="Segoe UI"/>
                <w:color w:val="333333"/>
                <w:kern w:val="0"/>
                <w:sz w:val="18"/>
                <w:szCs w:val="18"/>
              </w:rPr>
              <w:t>McLeavey</w:t>
            </w:r>
            <w:proofErr w:type="spellEnd"/>
            <w:r w:rsidRPr="000F14CA">
              <w:rPr>
                <w:rFonts w:ascii="Segoe UI" w:eastAsia="宋体" w:hAnsi="Segoe UI" w:cs="Segoe UI"/>
                <w:color w:val="333333"/>
                <w:kern w:val="0"/>
                <w:sz w:val="18"/>
                <w:szCs w:val="18"/>
              </w:rPr>
              <w:br/>
              <w:t>2011 Modular Level I, Vol. 6, pp. 216–218</w:t>
            </w:r>
            <w:r w:rsidRPr="000F14CA">
              <w:rPr>
                <w:rFonts w:ascii="Segoe UI" w:eastAsia="宋体" w:hAnsi="Segoe UI" w:cs="Segoe UI"/>
                <w:color w:val="333333"/>
                <w:kern w:val="0"/>
                <w:sz w:val="18"/>
                <w:szCs w:val="18"/>
              </w:rPr>
              <w:br/>
              <w:t>Study Session 18–74–h</w:t>
            </w:r>
            <w:r w:rsidRPr="000F14CA">
              <w:rPr>
                <w:rFonts w:ascii="Segoe UI" w:eastAsia="宋体" w:hAnsi="Segoe UI" w:cs="Segoe UI"/>
                <w:color w:val="333333"/>
                <w:kern w:val="0"/>
                <w:sz w:val="18"/>
                <w:szCs w:val="18"/>
              </w:rPr>
              <w:br/>
              <w:t>Calculate the net present value (NPV) of a venture capital project, given the project's possible payoff and conditional failure probabilities.</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You calculate the probability of success as (1 – 0.25) × (1 – 0.20) × (1 – 0.15) × (1 – 0.15) × (1 – 0.15) = 0.3685. </w:t>
            </w:r>
            <w:r w:rsidRPr="000F14CA">
              <w:rPr>
                <w:rFonts w:ascii="Segoe UI" w:eastAsia="宋体" w:hAnsi="Segoe UI" w:cs="Segoe UI"/>
                <w:color w:val="333333"/>
                <w:kern w:val="0"/>
                <w:sz w:val="18"/>
                <w:szCs w:val="18"/>
              </w:rPr>
              <w:br/>
              <w:t>Then calculate the NPV from success: (22,000 / 1.16</w:t>
            </w:r>
            <w:r w:rsidRPr="000F14CA">
              <w:rPr>
                <w:rFonts w:ascii="Segoe UI" w:eastAsia="宋体" w:hAnsi="Segoe UI" w:cs="Segoe UI"/>
                <w:color w:val="333333"/>
                <w:kern w:val="0"/>
                <w:sz w:val="18"/>
                <w:szCs w:val="18"/>
                <w:vertAlign w:val="superscript"/>
              </w:rPr>
              <w:t>5</w:t>
            </w:r>
            <w:r w:rsidRPr="000F14CA">
              <w:rPr>
                <w:rFonts w:ascii="Segoe UI" w:eastAsia="宋体" w:hAnsi="Segoe UI" w:cs="Segoe UI"/>
                <w:color w:val="333333"/>
                <w:kern w:val="0"/>
                <w:sz w:val="18"/>
                <w:szCs w:val="18"/>
              </w:rPr>
              <w:t xml:space="preserve">) – 5,000 = 5,474 × 0.3685 = 2,017. </w:t>
            </w:r>
            <w:r w:rsidRPr="000F14CA">
              <w:rPr>
                <w:rFonts w:ascii="Segoe UI" w:eastAsia="宋体" w:hAnsi="Segoe UI" w:cs="Segoe UI"/>
                <w:color w:val="333333"/>
                <w:kern w:val="0"/>
                <w:sz w:val="18"/>
                <w:szCs w:val="18"/>
              </w:rPr>
              <w:br/>
              <w:t>Subtracting the NPV of failure, –5,000 × (1 – 0.3685, or 0.632) = –3,157. The difference between the NPVs is the expected NPV of the project: 2,017 – 3,157 = –1,140.  </w:t>
            </w:r>
          </w:p>
        </w:tc>
      </w:tr>
    </w:tbl>
    <w:p w:rsidR="000F14CA" w:rsidRDefault="000F14CA">
      <w:pPr>
        <w:rPr>
          <w:rFonts w:hint="eastAsia"/>
        </w:rPr>
      </w:pPr>
    </w:p>
    <w:tbl>
      <w:tblPr>
        <w:tblW w:w="5000" w:type="pct"/>
        <w:tblCellSpacing w:w="15" w:type="dxa"/>
        <w:tblCellMar>
          <w:top w:w="30" w:type="dxa"/>
          <w:left w:w="30" w:type="dxa"/>
          <w:bottom w:w="30" w:type="dxa"/>
          <w:right w:w="30" w:type="dxa"/>
        </w:tblCellMar>
        <w:tblLook w:val="04A0"/>
      </w:tblPr>
      <w:tblGrid>
        <w:gridCol w:w="420"/>
        <w:gridCol w:w="629"/>
        <w:gridCol w:w="7104"/>
        <w:gridCol w:w="96"/>
        <w:gridCol w:w="96"/>
        <w:gridCol w:w="111"/>
      </w:tblGrid>
      <w:tr w:rsidR="000F14CA" w:rsidRPr="000F14CA" w:rsidTr="000F14CA">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0F14CA" w:rsidRPr="000F14CA" w:rsidRDefault="000F14CA" w:rsidP="000F14CA">
            <w:pPr>
              <w:widowControl/>
              <w:jc w:val="left"/>
              <w:rPr>
                <w:rFonts w:ascii="Segoe UI" w:eastAsia="宋体" w:hAnsi="Segoe UI" w:cs="Segoe UI"/>
                <w:b/>
                <w:bCs/>
                <w:color w:val="000000"/>
                <w:kern w:val="0"/>
                <w:sz w:val="18"/>
                <w:szCs w:val="18"/>
              </w:rPr>
            </w:pPr>
            <w:r w:rsidRPr="000F14CA">
              <w:rPr>
                <w:rFonts w:ascii="Segoe UI" w:eastAsia="宋体" w:hAnsi="Segoe UI" w:cs="Segoe UI"/>
                <w:b/>
                <w:bCs/>
                <w:color w:val="000000"/>
                <w:kern w:val="0"/>
                <w:sz w:val="18"/>
                <w:szCs w:val="18"/>
              </w:rPr>
              <w:t>51</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xml:space="preserve">Which of the following statements is </w:t>
            </w:r>
            <w:r w:rsidRPr="000F14CA">
              <w:rPr>
                <w:rFonts w:ascii="Segoe UI" w:eastAsia="宋体" w:hAnsi="Segoe UI" w:cs="Segoe UI"/>
                <w:i/>
                <w:iCs/>
                <w:color w:val="333333"/>
                <w:kern w:val="0"/>
                <w:sz w:val="18"/>
                <w:szCs w:val="18"/>
              </w:rPr>
              <w:t>most likely</w:t>
            </w:r>
            <w:r w:rsidRPr="000F14CA">
              <w:rPr>
                <w:rFonts w:ascii="Segoe UI" w:eastAsia="宋体" w:hAnsi="Segoe UI" w:cs="Segoe UI"/>
                <w:color w:val="333333"/>
                <w:kern w:val="0"/>
                <w:sz w:val="18"/>
                <w:szCs w:val="18"/>
              </w:rPr>
              <w:t xml:space="preserve"> correct with respect to valuing a privately held company?</w:t>
            </w: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25" type="#_x0000_t75" style="width:20.25pt;height:15.75pt" o:ole="">
                  <v:imagedata r:id="rId7" o:title=""/>
                </v:shape>
                <w:control r:id="rId159" w:name="DefaultOcxName70" w:shapeid="_x0000_i152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A.</w:t>
            </w:r>
            <w:r w:rsidRPr="000F14CA">
              <w:rPr>
                <w:rFonts w:ascii="Segoe UI" w:eastAsia="宋体" w:hAnsi="Segoe UI" w:cs="Segoe UI"/>
                <w:color w:val="000000"/>
                <w:kern w:val="0"/>
                <w:sz w:val="18"/>
                <w:szCs w:val="18"/>
              </w:rPr>
              <w:t xml:space="preserve"> The cost approach values company assets using historical book value.</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24" type="#_x0000_t75" style="width:20.25pt;height:15.75pt" o:ole="">
                  <v:imagedata r:id="rId9" o:title=""/>
                </v:shape>
                <w:control r:id="rId160" w:name="DefaultOcxName150" w:shapeid="_x0000_i152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B.</w:t>
            </w:r>
            <w:r w:rsidRPr="000F14CA">
              <w:rPr>
                <w:rFonts w:ascii="Segoe UI" w:eastAsia="宋体" w:hAnsi="Segoe UI" w:cs="Segoe UI"/>
                <w:color w:val="000000"/>
                <w:kern w:val="0"/>
                <w:sz w:val="18"/>
                <w:szCs w:val="18"/>
              </w:rPr>
              <w:t xml:space="preserve"> To estimate a control premium, the base is an estimate of that company’s value of equity not reflecting control.</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23" type="#_x0000_t75" style="width:20.25pt;height:15.75pt" o:ole="">
                  <v:imagedata r:id="rId9" o:title=""/>
                </v:shape>
                <w:control r:id="rId161" w:name="DefaultOcxName250" w:shapeid="_x0000_i152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C.</w:t>
            </w:r>
            <w:r w:rsidRPr="000F14CA">
              <w:rPr>
                <w:rFonts w:ascii="Segoe UI" w:eastAsia="宋体" w:hAnsi="Segoe UI" w:cs="Segoe UI"/>
                <w:color w:val="000000"/>
                <w:kern w:val="0"/>
                <w:sz w:val="18"/>
                <w:szCs w:val="18"/>
              </w:rPr>
              <w:t xml:space="preserve"> Share prices should reflect a liquidity premium compensating investors for illiquidity in the market for the shares.</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noWrap/>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0" w:type="auto"/>
            <w:gridSpan w:val="5"/>
            <w:shd w:val="clear" w:color="auto" w:fill="FF6347"/>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000080"/>
                <w:kern w:val="0"/>
                <w:sz w:val="16"/>
                <w:szCs w:val="16"/>
              </w:rPr>
              <w:t>Feedback:</w:t>
            </w:r>
            <w:r w:rsidRPr="000F14CA">
              <w:rPr>
                <w:rFonts w:ascii="Segoe UI" w:eastAsia="宋体" w:hAnsi="Segoe UI" w:cs="Segoe UI"/>
                <w:color w:val="333333"/>
                <w:kern w:val="0"/>
                <w:sz w:val="18"/>
                <w:szCs w:val="18"/>
              </w:rPr>
              <w:t xml:space="preserve"> You have answered incorrectly.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Correct answer: </w:t>
            </w:r>
            <w:r w:rsidRPr="000F14CA">
              <w:rPr>
                <w:rFonts w:ascii="Segoe UI" w:eastAsia="宋体" w:hAnsi="Segoe UI" w:cs="Segoe UI"/>
                <w:b/>
                <w:bCs/>
                <w:color w:val="333333"/>
                <w:kern w:val="0"/>
                <w:sz w:val="18"/>
                <w:szCs w:val="18"/>
              </w:rPr>
              <w:t>B</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"Alternative Investments," Bruno </w:t>
            </w:r>
            <w:proofErr w:type="spellStart"/>
            <w:r w:rsidRPr="000F14CA">
              <w:rPr>
                <w:rFonts w:ascii="Segoe UI" w:eastAsia="宋体" w:hAnsi="Segoe UI" w:cs="Segoe UI"/>
                <w:color w:val="333333"/>
                <w:kern w:val="0"/>
                <w:sz w:val="18"/>
                <w:szCs w:val="18"/>
              </w:rPr>
              <w:t>Solnik</w:t>
            </w:r>
            <w:proofErr w:type="spellEnd"/>
            <w:r w:rsidRPr="000F14CA">
              <w:rPr>
                <w:rFonts w:ascii="Segoe UI" w:eastAsia="宋体" w:hAnsi="Segoe UI" w:cs="Segoe UI"/>
                <w:color w:val="333333"/>
                <w:kern w:val="0"/>
                <w:sz w:val="18"/>
                <w:szCs w:val="18"/>
              </w:rPr>
              <w:t xml:space="preserve"> and Dennis </w:t>
            </w:r>
            <w:proofErr w:type="spellStart"/>
            <w:r w:rsidRPr="000F14CA">
              <w:rPr>
                <w:rFonts w:ascii="Segoe UI" w:eastAsia="宋体" w:hAnsi="Segoe UI" w:cs="Segoe UI"/>
                <w:color w:val="333333"/>
                <w:kern w:val="0"/>
                <w:sz w:val="18"/>
                <w:szCs w:val="18"/>
              </w:rPr>
              <w:t>McLeavey</w:t>
            </w:r>
            <w:proofErr w:type="spellEnd"/>
            <w:r w:rsidRPr="000F14CA">
              <w:rPr>
                <w:rFonts w:ascii="Segoe UI" w:eastAsia="宋体" w:hAnsi="Segoe UI" w:cs="Segoe UI"/>
                <w:color w:val="333333"/>
                <w:kern w:val="0"/>
                <w:sz w:val="18"/>
                <w:szCs w:val="18"/>
              </w:rPr>
              <w:br/>
              <w:t>2011 Modular Level I, Vol. 6, pp. 232–233</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lastRenderedPageBreak/>
              <w:t>Study Session 18–74–n</w:t>
            </w:r>
            <w:r w:rsidRPr="000F14CA">
              <w:rPr>
                <w:rFonts w:ascii="Segoe UI" w:eastAsia="宋体" w:hAnsi="Segoe UI" w:cs="Segoe UI"/>
                <w:color w:val="333333"/>
                <w:kern w:val="0"/>
                <w:sz w:val="18"/>
                <w:szCs w:val="18"/>
              </w:rPr>
              <w:br/>
              <w:t>Describe alternative valuation methods for closely held companies and distinguish among the bases for the discounts and premiums for these companies. </w:t>
            </w:r>
          </w:p>
        </w:tc>
      </w:tr>
    </w:tbl>
    <w:p w:rsidR="000F14CA" w:rsidRDefault="000F14CA">
      <w:pPr>
        <w:rPr>
          <w:rFonts w:hint="eastAsia"/>
        </w:rPr>
      </w:pPr>
    </w:p>
    <w:tbl>
      <w:tblPr>
        <w:tblW w:w="5000" w:type="pct"/>
        <w:tblCellSpacing w:w="15" w:type="dxa"/>
        <w:tblCellMar>
          <w:top w:w="30" w:type="dxa"/>
          <w:left w:w="30" w:type="dxa"/>
          <w:bottom w:w="30" w:type="dxa"/>
          <w:right w:w="30" w:type="dxa"/>
        </w:tblCellMar>
        <w:tblLook w:val="04A0"/>
      </w:tblPr>
      <w:tblGrid>
        <w:gridCol w:w="420"/>
        <w:gridCol w:w="625"/>
        <w:gridCol w:w="7108"/>
        <w:gridCol w:w="96"/>
        <w:gridCol w:w="96"/>
        <w:gridCol w:w="111"/>
      </w:tblGrid>
      <w:tr w:rsidR="000F14CA" w:rsidRPr="000F14CA" w:rsidTr="000F14CA">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0F14CA" w:rsidRPr="000F14CA" w:rsidRDefault="000F14CA" w:rsidP="000F14CA">
            <w:pPr>
              <w:widowControl/>
              <w:jc w:val="left"/>
              <w:rPr>
                <w:rFonts w:ascii="Segoe UI" w:eastAsia="宋体" w:hAnsi="Segoe UI" w:cs="Segoe UI"/>
                <w:b/>
                <w:bCs/>
                <w:color w:val="000000"/>
                <w:kern w:val="0"/>
                <w:sz w:val="18"/>
                <w:szCs w:val="18"/>
              </w:rPr>
            </w:pPr>
            <w:r w:rsidRPr="000F14CA">
              <w:rPr>
                <w:rFonts w:ascii="Segoe UI" w:eastAsia="宋体" w:hAnsi="Segoe UI" w:cs="Segoe UI"/>
                <w:b/>
                <w:bCs/>
                <w:color w:val="000000"/>
                <w:kern w:val="0"/>
                <w:sz w:val="18"/>
                <w:szCs w:val="18"/>
              </w:rPr>
              <w:t>52</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The table below provides a history of a fixed-income security’s coupon rate and the risk-free rate over a five-year period.</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17"/>
              <w:gridCol w:w="3289"/>
              <w:gridCol w:w="2879"/>
            </w:tblGrid>
            <w:tr w:rsidR="000F14CA" w:rsidRPr="000F14CA">
              <w:trPr>
                <w:tblCellSpacing w:w="15" w:type="dxa"/>
              </w:trPr>
              <w:tc>
                <w:tcPr>
                  <w:tcW w:w="88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Year</w:t>
                  </w:r>
                </w:p>
              </w:tc>
              <w:tc>
                <w:tcPr>
                  <w:tcW w:w="17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Risk-Free Rate</w:t>
                  </w:r>
                </w:p>
              </w:tc>
              <w:tc>
                <w:tcPr>
                  <w:tcW w:w="150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Coupon Rate</w:t>
                  </w:r>
                </w:p>
              </w:tc>
            </w:tr>
            <w:tr w:rsidR="000F14CA" w:rsidRPr="000F14CA">
              <w:trPr>
                <w:tblCellSpacing w:w="15" w:type="dxa"/>
              </w:trPr>
              <w:tc>
                <w:tcPr>
                  <w:tcW w:w="88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1</w:t>
                  </w:r>
                </w:p>
              </w:tc>
              <w:tc>
                <w:tcPr>
                  <w:tcW w:w="17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3.00%</w:t>
                  </w:r>
                </w:p>
              </w:tc>
              <w:tc>
                <w:tcPr>
                  <w:tcW w:w="150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6.00%</w:t>
                  </w:r>
                </w:p>
              </w:tc>
            </w:tr>
            <w:tr w:rsidR="000F14CA" w:rsidRPr="000F14CA">
              <w:trPr>
                <w:tblCellSpacing w:w="15" w:type="dxa"/>
              </w:trPr>
              <w:tc>
                <w:tcPr>
                  <w:tcW w:w="88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2</w:t>
                  </w:r>
                </w:p>
              </w:tc>
              <w:tc>
                <w:tcPr>
                  <w:tcW w:w="17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3.50%</w:t>
                  </w:r>
                </w:p>
              </w:tc>
              <w:tc>
                <w:tcPr>
                  <w:tcW w:w="150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5.00%</w:t>
                  </w:r>
                </w:p>
              </w:tc>
            </w:tr>
            <w:tr w:rsidR="000F14CA" w:rsidRPr="000F14CA">
              <w:trPr>
                <w:tblCellSpacing w:w="15" w:type="dxa"/>
              </w:trPr>
              <w:tc>
                <w:tcPr>
                  <w:tcW w:w="88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3</w:t>
                  </w:r>
                </w:p>
              </w:tc>
              <w:tc>
                <w:tcPr>
                  <w:tcW w:w="17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4.25%</w:t>
                  </w:r>
                </w:p>
              </w:tc>
              <w:tc>
                <w:tcPr>
                  <w:tcW w:w="150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3.50%</w:t>
                  </w:r>
                </w:p>
              </w:tc>
            </w:tr>
            <w:tr w:rsidR="000F14CA" w:rsidRPr="000F14CA">
              <w:trPr>
                <w:tblCellSpacing w:w="15" w:type="dxa"/>
              </w:trPr>
              <w:tc>
                <w:tcPr>
                  <w:tcW w:w="88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4</w:t>
                  </w:r>
                </w:p>
              </w:tc>
              <w:tc>
                <w:tcPr>
                  <w:tcW w:w="17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3.70%</w:t>
                  </w:r>
                </w:p>
              </w:tc>
              <w:tc>
                <w:tcPr>
                  <w:tcW w:w="150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4.60%</w:t>
                  </w:r>
                </w:p>
              </w:tc>
            </w:tr>
            <w:tr w:rsidR="000F14CA" w:rsidRPr="000F14CA">
              <w:trPr>
                <w:tblCellSpacing w:w="15" w:type="dxa"/>
              </w:trPr>
              <w:tc>
                <w:tcPr>
                  <w:tcW w:w="88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w:t>
                  </w:r>
                </w:p>
              </w:tc>
              <w:tc>
                <w:tcPr>
                  <w:tcW w:w="17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3.25%</w:t>
                  </w:r>
                </w:p>
              </w:tc>
              <w:tc>
                <w:tcPr>
                  <w:tcW w:w="1500"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5.50%</w:t>
                  </w:r>
                </w:p>
              </w:tc>
            </w:tr>
          </w:tbl>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br/>
              <w:t xml:space="preserve">The security is </w:t>
            </w:r>
            <w:r w:rsidRPr="000F14CA">
              <w:rPr>
                <w:rFonts w:ascii="Segoe UI" w:eastAsia="宋体" w:hAnsi="Segoe UI" w:cs="Segoe UI"/>
                <w:i/>
                <w:iCs/>
                <w:color w:val="333333"/>
                <w:kern w:val="0"/>
                <w:sz w:val="18"/>
                <w:szCs w:val="18"/>
              </w:rPr>
              <w:t>most likely</w:t>
            </w:r>
            <w:r w:rsidRPr="000F14CA">
              <w:rPr>
                <w:rFonts w:ascii="Segoe UI" w:eastAsia="宋体" w:hAnsi="Segoe UI" w:cs="Segoe UI"/>
                <w:color w:val="333333"/>
                <w:kern w:val="0"/>
                <w:sz w:val="18"/>
                <w:szCs w:val="18"/>
              </w:rPr>
              <w:t xml:space="preserve"> a(n):</w:t>
            </w: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34" type="#_x0000_t75" style="width:20.25pt;height:15.75pt" o:ole="">
                  <v:imagedata r:id="rId7" o:title=""/>
                </v:shape>
                <w:control r:id="rId162" w:name="DefaultOcxName71" w:shapeid="_x0000_i153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A.</w:t>
            </w:r>
            <w:r w:rsidRPr="000F14CA">
              <w:rPr>
                <w:rFonts w:ascii="Segoe UI" w:eastAsia="宋体" w:hAnsi="Segoe UI" w:cs="Segoe UI"/>
                <w:color w:val="000000"/>
                <w:kern w:val="0"/>
                <w:sz w:val="18"/>
                <w:szCs w:val="18"/>
              </w:rPr>
              <w:t xml:space="preserve"> step-up note.</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33" type="#_x0000_t75" style="width:20.25pt;height:15.75pt" o:ole="">
                  <v:imagedata r:id="rId9" o:title=""/>
                </v:shape>
                <w:control r:id="rId163" w:name="DefaultOcxName151" w:shapeid="_x0000_i153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B.</w:t>
            </w:r>
            <w:r w:rsidRPr="000F14CA">
              <w:rPr>
                <w:rFonts w:ascii="Segoe UI" w:eastAsia="宋体" w:hAnsi="Segoe UI" w:cs="Segoe UI"/>
                <w:color w:val="000000"/>
                <w:kern w:val="0"/>
                <w:sz w:val="18"/>
                <w:szCs w:val="18"/>
              </w:rPr>
              <w:t xml:space="preserve"> inverse floater.</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32" type="#_x0000_t75" style="width:20.25pt;height:15.75pt" o:ole="">
                  <v:imagedata r:id="rId9" o:title=""/>
                </v:shape>
                <w:control r:id="rId164" w:name="DefaultOcxName251" w:shapeid="_x0000_i153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C.</w:t>
            </w:r>
            <w:r w:rsidRPr="000F14CA">
              <w:rPr>
                <w:rFonts w:ascii="Segoe UI" w:eastAsia="宋体" w:hAnsi="Segoe UI" w:cs="Segoe UI"/>
                <w:color w:val="000000"/>
                <w:kern w:val="0"/>
                <w:sz w:val="18"/>
                <w:szCs w:val="18"/>
              </w:rPr>
              <w:t xml:space="preserve"> deferred coupon bond.</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noWrap/>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0" w:type="auto"/>
            <w:gridSpan w:val="5"/>
            <w:shd w:val="clear" w:color="auto" w:fill="FF6347"/>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000080"/>
                <w:kern w:val="0"/>
                <w:sz w:val="16"/>
                <w:szCs w:val="16"/>
              </w:rPr>
              <w:t>Feedback:</w:t>
            </w:r>
            <w:r w:rsidRPr="000F14CA">
              <w:rPr>
                <w:rFonts w:ascii="Segoe UI" w:eastAsia="宋体" w:hAnsi="Segoe UI" w:cs="Segoe UI"/>
                <w:color w:val="333333"/>
                <w:kern w:val="0"/>
                <w:sz w:val="18"/>
                <w:szCs w:val="18"/>
              </w:rPr>
              <w:t xml:space="preserve"> You have answered incorrectly.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Correct answer: </w:t>
            </w:r>
            <w:r w:rsidRPr="000F14CA">
              <w:rPr>
                <w:rFonts w:ascii="Segoe UI" w:eastAsia="宋体" w:hAnsi="Segoe UI" w:cs="Segoe UI"/>
                <w:b/>
                <w:bCs/>
                <w:color w:val="333333"/>
                <w:kern w:val="0"/>
                <w:sz w:val="18"/>
                <w:szCs w:val="18"/>
              </w:rPr>
              <w:t>B</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"Features of Debt Securities," Frank J. </w:t>
            </w:r>
            <w:proofErr w:type="spellStart"/>
            <w:r w:rsidRPr="000F14CA">
              <w:rPr>
                <w:rFonts w:ascii="Segoe UI" w:eastAsia="宋体" w:hAnsi="Segoe UI" w:cs="Segoe UI"/>
                <w:color w:val="333333"/>
                <w:kern w:val="0"/>
                <w:sz w:val="18"/>
                <w:szCs w:val="18"/>
              </w:rPr>
              <w:t>Fabozzi</w:t>
            </w:r>
            <w:proofErr w:type="spellEnd"/>
            <w:r w:rsidRPr="000F14CA">
              <w:rPr>
                <w:rFonts w:ascii="Segoe UI" w:eastAsia="宋体" w:hAnsi="Segoe UI" w:cs="Segoe UI"/>
                <w:color w:val="333333"/>
                <w:kern w:val="0"/>
                <w:sz w:val="18"/>
                <w:szCs w:val="18"/>
              </w:rPr>
              <w:t>, CFA</w:t>
            </w:r>
            <w:r w:rsidRPr="000F14CA">
              <w:rPr>
                <w:rFonts w:ascii="Segoe UI" w:eastAsia="宋体" w:hAnsi="Segoe UI" w:cs="Segoe UI"/>
                <w:color w:val="333333"/>
                <w:kern w:val="0"/>
                <w:sz w:val="18"/>
                <w:szCs w:val="18"/>
              </w:rPr>
              <w:br/>
              <w:t>2011 Modular Level I, Vol. 5, pp. 325–330</w:t>
            </w:r>
            <w:r w:rsidRPr="000F14CA">
              <w:rPr>
                <w:rFonts w:ascii="Segoe UI" w:eastAsia="宋体" w:hAnsi="Segoe UI" w:cs="Segoe UI"/>
                <w:color w:val="333333"/>
                <w:kern w:val="0"/>
                <w:sz w:val="18"/>
                <w:szCs w:val="18"/>
              </w:rPr>
              <w:br/>
              <w:t>Study Session 15–61–b</w:t>
            </w:r>
            <w:r w:rsidRPr="000F14CA">
              <w:rPr>
                <w:rFonts w:ascii="Segoe UI" w:eastAsia="宋体" w:hAnsi="Segoe UI" w:cs="Segoe UI"/>
                <w:color w:val="333333"/>
                <w:kern w:val="0"/>
                <w:sz w:val="18"/>
                <w:szCs w:val="18"/>
              </w:rPr>
              <w:br/>
              <w:t>Describe the basic features of a bond, the various coupon rate structures, and the structure of floating-rate securities.</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The security's coupon rate moves in the opposite direction (inversely) with the risk-free rate. (Specifically, the coupon rate = 12.00% – 2 × risk-free rate.) </w:t>
            </w:r>
          </w:p>
        </w:tc>
      </w:tr>
    </w:tbl>
    <w:p w:rsidR="000F14CA" w:rsidRDefault="000F14CA">
      <w:pPr>
        <w:rPr>
          <w:rFonts w:hint="eastAsia"/>
        </w:rPr>
      </w:pPr>
    </w:p>
    <w:tbl>
      <w:tblPr>
        <w:tblW w:w="5000" w:type="pct"/>
        <w:tblCellSpacing w:w="15" w:type="dxa"/>
        <w:tblCellMar>
          <w:top w:w="30" w:type="dxa"/>
          <w:left w:w="30" w:type="dxa"/>
          <w:bottom w:w="30" w:type="dxa"/>
          <w:right w:w="30" w:type="dxa"/>
        </w:tblCellMar>
        <w:tblLook w:val="04A0"/>
      </w:tblPr>
      <w:tblGrid>
        <w:gridCol w:w="420"/>
        <w:gridCol w:w="598"/>
        <w:gridCol w:w="7135"/>
        <w:gridCol w:w="96"/>
        <w:gridCol w:w="96"/>
        <w:gridCol w:w="111"/>
      </w:tblGrid>
      <w:tr w:rsidR="000F14CA" w:rsidRPr="000F14CA" w:rsidTr="000F14CA">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0F14CA" w:rsidRPr="000F14CA" w:rsidRDefault="000F14CA" w:rsidP="000F14CA">
            <w:pPr>
              <w:widowControl/>
              <w:jc w:val="left"/>
              <w:rPr>
                <w:rFonts w:ascii="Segoe UI" w:eastAsia="宋体" w:hAnsi="Segoe UI" w:cs="Segoe UI"/>
                <w:b/>
                <w:bCs/>
                <w:color w:val="000000"/>
                <w:kern w:val="0"/>
                <w:sz w:val="18"/>
                <w:szCs w:val="18"/>
              </w:rPr>
            </w:pPr>
            <w:r w:rsidRPr="000F14CA">
              <w:rPr>
                <w:rFonts w:ascii="Segoe UI" w:eastAsia="宋体" w:hAnsi="Segoe UI" w:cs="Segoe UI"/>
                <w:b/>
                <w:bCs/>
                <w:color w:val="000000"/>
                <w:kern w:val="0"/>
                <w:sz w:val="18"/>
                <w:szCs w:val="18"/>
              </w:rPr>
              <w:t>53</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xml:space="preserve">For a 10-year floating-rate security, if market interest rates change by 1 percent, the change in the value of the security will </w:t>
            </w:r>
            <w:r w:rsidRPr="000F14CA">
              <w:rPr>
                <w:rFonts w:ascii="Segoe UI" w:eastAsia="宋体" w:hAnsi="Segoe UI" w:cs="Segoe UI"/>
                <w:i/>
                <w:iCs/>
                <w:color w:val="333333"/>
                <w:kern w:val="0"/>
                <w:sz w:val="18"/>
                <w:szCs w:val="18"/>
              </w:rPr>
              <w:t>most likely</w:t>
            </w:r>
            <w:r w:rsidRPr="000F14CA">
              <w:rPr>
                <w:rFonts w:ascii="Segoe UI" w:eastAsia="宋体" w:hAnsi="Segoe UI" w:cs="Segoe UI"/>
                <w:color w:val="333333"/>
                <w:kern w:val="0"/>
                <w:sz w:val="18"/>
                <w:szCs w:val="18"/>
              </w:rPr>
              <w:t xml:space="preserve"> be:</w:t>
            </w: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43" type="#_x0000_t75" style="width:20.25pt;height:15.75pt" o:ole="">
                  <v:imagedata r:id="rId7" o:title=""/>
                </v:shape>
                <w:control r:id="rId165" w:name="DefaultOcxName72" w:shapeid="_x0000_i154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A.</w:t>
            </w:r>
            <w:r w:rsidRPr="000F14CA">
              <w:rPr>
                <w:rFonts w:ascii="Segoe UI" w:eastAsia="宋体" w:hAnsi="Segoe UI" w:cs="Segoe UI"/>
                <w:color w:val="000000"/>
                <w:kern w:val="0"/>
                <w:sz w:val="18"/>
                <w:szCs w:val="18"/>
              </w:rPr>
              <w:t xml:space="preserve"> zero.</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42" type="#_x0000_t75" style="width:20.25pt;height:15.75pt" o:ole="">
                  <v:imagedata r:id="rId9" o:title=""/>
                </v:shape>
                <w:control r:id="rId166" w:name="DefaultOcxName152" w:shapeid="_x0000_i154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B.</w:t>
            </w:r>
            <w:r w:rsidRPr="000F14CA">
              <w:rPr>
                <w:rFonts w:ascii="Segoe UI" w:eastAsia="宋体" w:hAnsi="Segoe UI" w:cs="Segoe UI"/>
                <w:color w:val="000000"/>
                <w:kern w:val="0"/>
                <w:sz w:val="18"/>
                <w:szCs w:val="18"/>
              </w:rPr>
              <w:t xml:space="preserve"> related to the security’s coupon reset frequency.</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41" type="#_x0000_t75" style="width:20.25pt;height:15.75pt" o:ole="">
                  <v:imagedata r:id="rId9" o:title=""/>
                </v:shape>
                <w:control r:id="rId167" w:name="DefaultOcxName252" w:shapeid="_x0000_i154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C.</w:t>
            </w:r>
            <w:r w:rsidRPr="000F14CA">
              <w:rPr>
                <w:rFonts w:ascii="Segoe UI" w:eastAsia="宋体" w:hAnsi="Segoe UI" w:cs="Segoe UI"/>
                <w:color w:val="000000"/>
                <w:kern w:val="0"/>
                <w:sz w:val="18"/>
                <w:szCs w:val="18"/>
              </w:rPr>
              <w:t xml:space="preserve"> similar to an otherwise identical fixed-rate security.</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noWrap/>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0" w:type="auto"/>
            <w:gridSpan w:val="5"/>
            <w:shd w:val="clear" w:color="auto" w:fill="FF6347"/>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000080"/>
                <w:kern w:val="0"/>
                <w:sz w:val="16"/>
                <w:szCs w:val="16"/>
              </w:rPr>
              <w:t>Feedback:</w:t>
            </w:r>
            <w:r w:rsidRPr="000F14CA">
              <w:rPr>
                <w:rFonts w:ascii="Segoe UI" w:eastAsia="宋体" w:hAnsi="Segoe UI" w:cs="Segoe UI"/>
                <w:color w:val="333333"/>
                <w:kern w:val="0"/>
                <w:sz w:val="18"/>
                <w:szCs w:val="18"/>
              </w:rPr>
              <w:t xml:space="preserve"> You have answered incorrectly.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Correct answer: </w:t>
            </w:r>
            <w:r w:rsidRPr="000F14CA">
              <w:rPr>
                <w:rFonts w:ascii="Segoe UI" w:eastAsia="宋体" w:hAnsi="Segoe UI" w:cs="Segoe UI"/>
                <w:b/>
                <w:bCs/>
                <w:color w:val="333333"/>
                <w:kern w:val="0"/>
                <w:sz w:val="18"/>
                <w:szCs w:val="18"/>
              </w:rPr>
              <w:t>B</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"Risks Associated with Investing in Bonds," Frank J. </w:t>
            </w:r>
            <w:proofErr w:type="spellStart"/>
            <w:r w:rsidRPr="000F14CA">
              <w:rPr>
                <w:rFonts w:ascii="Segoe UI" w:eastAsia="宋体" w:hAnsi="Segoe UI" w:cs="Segoe UI"/>
                <w:color w:val="333333"/>
                <w:kern w:val="0"/>
                <w:sz w:val="18"/>
                <w:szCs w:val="18"/>
              </w:rPr>
              <w:t>Fabozzi</w:t>
            </w:r>
            <w:proofErr w:type="spellEnd"/>
            <w:r w:rsidRPr="000F14CA">
              <w:rPr>
                <w:rFonts w:ascii="Segoe UI" w:eastAsia="宋体" w:hAnsi="Segoe UI" w:cs="Segoe UI"/>
                <w:color w:val="333333"/>
                <w:kern w:val="0"/>
                <w:sz w:val="18"/>
                <w:szCs w:val="18"/>
              </w:rPr>
              <w:t>, CFA</w:t>
            </w:r>
            <w:r w:rsidRPr="000F14CA">
              <w:rPr>
                <w:rFonts w:ascii="Segoe UI" w:eastAsia="宋体" w:hAnsi="Segoe UI" w:cs="Segoe UI"/>
                <w:color w:val="333333"/>
                <w:kern w:val="0"/>
                <w:sz w:val="18"/>
                <w:szCs w:val="18"/>
              </w:rPr>
              <w:br/>
              <w:t>2011 Modular Level I, Vol. 5, pp. 356–357</w:t>
            </w:r>
            <w:r w:rsidRPr="000F14CA">
              <w:rPr>
                <w:rFonts w:ascii="Segoe UI" w:eastAsia="宋体" w:hAnsi="Segoe UI" w:cs="Segoe UI"/>
                <w:color w:val="333333"/>
                <w:kern w:val="0"/>
                <w:sz w:val="18"/>
                <w:szCs w:val="18"/>
              </w:rPr>
              <w:br/>
              <w:t>Study Session 15–62–e</w:t>
            </w:r>
            <w:r w:rsidRPr="000F14CA">
              <w:rPr>
                <w:rFonts w:ascii="Segoe UI" w:eastAsia="宋体" w:hAnsi="Segoe UI" w:cs="Segoe UI"/>
                <w:color w:val="333333"/>
                <w:kern w:val="0"/>
                <w:sz w:val="18"/>
                <w:szCs w:val="18"/>
              </w:rPr>
              <w:br/>
              <w:t>Explain the interest rate risk of a floating-rate security and why such a security's price may differ from par value.</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The interest rate sensitivity of a floating-rate security comes primarily from the time remaining until its next coupon reset. </w:t>
            </w:r>
          </w:p>
        </w:tc>
      </w:tr>
    </w:tbl>
    <w:p w:rsidR="000F14CA" w:rsidRDefault="000F14CA">
      <w:pPr>
        <w:rPr>
          <w:rFonts w:hint="eastAsia"/>
        </w:rPr>
      </w:pPr>
    </w:p>
    <w:tbl>
      <w:tblPr>
        <w:tblW w:w="5000" w:type="pct"/>
        <w:tblCellSpacing w:w="15" w:type="dxa"/>
        <w:tblCellMar>
          <w:top w:w="30" w:type="dxa"/>
          <w:left w:w="30" w:type="dxa"/>
          <w:bottom w:w="30" w:type="dxa"/>
          <w:right w:w="30" w:type="dxa"/>
        </w:tblCellMar>
        <w:tblLook w:val="04A0"/>
      </w:tblPr>
      <w:tblGrid>
        <w:gridCol w:w="420"/>
        <w:gridCol w:w="636"/>
        <w:gridCol w:w="7097"/>
        <w:gridCol w:w="96"/>
        <w:gridCol w:w="96"/>
        <w:gridCol w:w="111"/>
      </w:tblGrid>
      <w:tr w:rsidR="000F14CA" w:rsidRPr="000F14CA" w:rsidTr="000F14CA">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0F14CA" w:rsidRPr="000F14CA" w:rsidRDefault="000F14CA" w:rsidP="000F14CA">
            <w:pPr>
              <w:widowControl/>
              <w:jc w:val="left"/>
              <w:rPr>
                <w:rFonts w:ascii="Segoe UI" w:eastAsia="宋体" w:hAnsi="Segoe UI" w:cs="Segoe UI"/>
                <w:b/>
                <w:bCs/>
                <w:color w:val="000000"/>
                <w:kern w:val="0"/>
                <w:sz w:val="18"/>
                <w:szCs w:val="18"/>
              </w:rPr>
            </w:pPr>
            <w:r w:rsidRPr="000F14CA">
              <w:rPr>
                <w:rFonts w:ascii="Segoe UI" w:eastAsia="宋体" w:hAnsi="Segoe UI" w:cs="Segoe UI"/>
                <w:b/>
                <w:bCs/>
                <w:color w:val="000000"/>
                <w:kern w:val="0"/>
                <w:sz w:val="18"/>
                <w:szCs w:val="18"/>
              </w:rPr>
              <w:t>54</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xml:space="preserve">When a bank creates a collateralized loan obligation (CLO) by securitizing a portfolio of commercial loans that it holds, the process is </w:t>
            </w:r>
            <w:r w:rsidRPr="000F14CA">
              <w:rPr>
                <w:rFonts w:ascii="Segoe UI" w:eastAsia="宋体" w:hAnsi="Segoe UI" w:cs="Segoe UI"/>
                <w:i/>
                <w:iCs/>
                <w:color w:val="333333"/>
                <w:kern w:val="0"/>
                <w:sz w:val="18"/>
                <w:szCs w:val="18"/>
              </w:rPr>
              <w:t>best</w:t>
            </w:r>
            <w:r w:rsidRPr="000F14CA">
              <w:rPr>
                <w:rFonts w:ascii="Segoe UI" w:eastAsia="宋体" w:hAnsi="Segoe UI" w:cs="Segoe UI"/>
                <w:color w:val="333333"/>
                <w:kern w:val="0"/>
                <w:sz w:val="18"/>
                <w:szCs w:val="18"/>
              </w:rPr>
              <w:t xml:space="preserve"> described as a(n):</w:t>
            </w: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52" type="#_x0000_t75" style="width:20.25pt;height:15.75pt" o:ole="">
                  <v:imagedata r:id="rId7" o:title=""/>
                </v:shape>
                <w:control r:id="rId168" w:name="DefaultOcxName73" w:shapeid="_x0000_i155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A.</w:t>
            </w:r>
            <w:r w:rsidRPr="000F14CA">
              <w:rPr>
                <w:rFonts w:ascii="Segoe UI" w:eastAsia="宋体" w:hAnsi="Segoe UI" w:cs="Segoe UI"/>
                <w:color w:val="000000"/>
                <w:kern w:val="0"/>
                <w:sz w:val="18"/>
                <w:szCs w:val="18"/>
              </w:rPr>
              <w:t xml:space="preserve"> arbitrage transaction.</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51" type="#_x0000_t75" style="width:20.25pt;height:15.75pt" o:ole="">
                  <v:imagedata r:id="rId9" o:title=""/>
                </v:shape>
                <w:control r:id="rId169" w:name="DefaultOcxName153" w:shapeid="_x0000_i155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B.</w:t>
            </w:r>
            <w:r w:rsidRPr="000F14CA">
              <w:rPr>
                <w:rFonts w:ascii="Segoe UI" w:eastAsia="宋体" w:hAnsi="Segoe UI" w:cs="Segoe UI"/>
                <w:color w:val="000000"/>
                <w:kern w:val="0"/>
                <w:sz w:val="18"/>
                <w:szCs w:val="18"/>
              </w:rPr>
              <w:t xml:space="preserve"> balance sheet transaction.</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50" type="#_x0000_t75" style="width:20.25pt;height:15.75pt" o:ole="">
                  <v:imagedata r:id="rId9" o:title=""/>
                </v:shape>
                <w:control r:id="rId170" w:name="DefaultOcxName253" w:shapeid="_x0000_i155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C.</w:t>
            </w:r>
            <w:r w:rsidRPr="000F14CA">
              <w:rPr>
                <w:rFonts w:ascii="Segoe UI" w:eastAsia="宋体" w:hAnsi="Segoe UI" w:cs="Segoe UI"/>
                <w:color w:val="000000"/>
                <w:kern w:val="0"/>
                <w:sz w:val="18"/>
                <w:szCs w:val="18"/>
              </w:rPr>
              <w:t xml:space="preserve"> capital infusion transaction.</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noWrap/>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0" w:type="auto"/>
            <w:gridSpan w:val="5"/>
            <w:shd w:val="clear" w:color="auto" w:fill="FF6347"/>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000080"/>
                <w:kern w:val="0"/>
                <w:sz w:val="16"/>
                <w:szCs w:val="16"/>
              </w:rPr>
              <w:t>Feedback:</w:t>
            </w:r>
            <w:r w:rsidRPr="000F14CA">
              <w:rPr>
                <w:rFonts w:ascii="Segoe UI" w:eastAsia="宋体" w:hAnsi="Segoe UI" w:cs="Segoe UI"/>
                <w:color w:val="333333"/>
                <w:kern w:val="0"/>
                <w:sz w:val="18"/>
                <w:szCs w:val="18"/>
              </w:rPr>
              <w:t xml:space="preserve"> You have answered incorrectly.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Correct answer: </w:t>
            </w:r>
            <w:r w:rsidRPr="000F14CA">
              <w:rPr>
                <w:rFonts w:ascii="Segoe UI" w:eastAsia="宋体" w:hAnsi="Segoe UI" w:cs="Segoe UI"/>
                <w:b/>
                <w:bCs/>
                <w:color w:val="333333"/>
                <w:kern w:val="0"/>
                <w:sz w:val="18"/>
                <w:szCs w:val="18"/>
              </w:rPr>
              <w:t>B</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"Overview of Bond Sectors and Instruments," Frank J. </w:t>
            </w:r>
            <w:proofErr w:type="spellStart"/>
            <w:r w:rsidRPr="000F14CA">
              <w:rPr>
                <w:rFonts w:ascii="Segoe UI" w:eastAsia="宋体" w:hAnsi="Segoe UI" w:cs="Segoe UI"/>
                <w:color w:val="333333"/>
                <w:kern w:val="0"/>
                <w:sz w:val="18"/>
                <w:szCs w:val="18"/>
              </w:rPr>
              <w:t>Fabozzi</w:t>
            </w:r>
            <w:proofErr w:type="spellEnd"/>
            <w:r w:rsidRPr="000F14CA">
              <w:rPr>
                <w:rFonts w:ascii="Segoe UI" w:eastAsia="宋体" w:hAnsi="Segoe UI" w:cs="Segoe UI"/>
                <w:color w:val="333333"/>
                <w:kern w:val="0"/>
                <w:sz w:val="18"/>
                <w:szCs w:val="18"/>
              </w:rPr>
              <w:t>, CFA</w:t>
            </w:r>
            <w:r w:rsidRPr="000F14CA">
              <w:rPr>
                <w:rFonts w:ascii="Segoe UI" w:eastAsia="宋体" w:hAnsi="Segoe UI" w:cs="Segoe UI"/>
                <w:color w:val="333333"/>
                <w:kern w:val="0"/>
                <w:sz w:val="18"/>
                <w:szCs w:val="18"/>
              </w:rPr>
              <w:br/>
              <w:t>2011 Modular Level I, Vol. 5, pp. 426–427</w:t>
            </w:r>
            <w:r w:rsidRPr="000F14CA">
              <w:rPr>
                <w:rFonts w:ascii="Segoe UI" w:eastAsia="宋体" w:hAnsi="Segoe UI" w:cs="Segoe UI"/>
                <w:color w:val="333333"/>
                <w:kern w:val="0"/>
                <w:sz w:val="18"/>
                <w:szCs w:val="18"/>
              </w:rPr>
              <w:br/>
              <w:t>Study Session 15–63–j</w:t>
            </w:r>
            <w:r w:rsidRPr="000F14CA">
              <w:rPr>
                <w:rFonts w:ascii="Segoe UI" w:eastAsia="宋体" w:hAnsi="Segoe UI" w:cs="Segoe UI"/>
                <w:color w:val="333333"/>
                <w:kern w:val="0"/>
                <w:sz w:val="18"/>
                <w:szCs w:val="18"/>
              </w:rPr>
              <w:br/>
              <w:t>Describe collateralized debt obligations.</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A balance sheet transaction is one that removes assets from the balance sheet of the institution, often motivated by the desire to reduce the institution's risk. </w:t>
            </w:r>
          </w:p>
        </w:tc>
      </w:tr>
    </w:tbl>
    <w:p w:rsidR="000F14CA" w:rsidRDefault="000F14CA">
      <w:pPr>
        <w:rPr>
          <w:rFonts w:hint="eastAsia"/>
        </w:rPr>
      </w:pPr>
    </w:p>
    <w:tbl>
      <w:tblPr>
        <w:tblW w:w="5000" w:type="pct"/>
        <w:tblCellSpacing w:w="15" w:type="dxa"/>
        <w:tblCellMar>
          <w:top w:w="30" w:type="dxa"/>
          <w:left w:w="30" w:type="dxa"/>
          <w:bottom w:w="30" w:type="dxa"/>
          <w:right w:w="30" w:type="dxa"/>
        </w:tblCellMar>
        <w:tblLook w:val="04A0"/>
      </w:tblPr>
      <w:tblGrid>
        <w:gridCol w:w="420"/>
        <w:gridCol w:w="742"/>
        <w:gridCol w:w="6904"/>
        <w:gridCol w:w="125"/>
        <w:gridCol w:w="125"/>
        <w:gridCol w:w="140"/>
      </w:tblGrid>
      <w:tr w:rsidR="000F14CA" w:rsidRPr="000F14CA" w:rsidTr="000F14CA">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0F14CA" w:rsidRPr="000F14CA" w:rsidRDefault="000F14CA" w:rsidP="000F14CA">
            <w:pPr>
              <w:widowControl/>
              <w:jc w:val="left"/>
              <w:rPr>
                <w:rFonts w:ascii="Segoe UI" w:eastAsia="宋体" w:hAnsi="Segoe UI" w:cs="Segoe UI"/>
                <w:b/>
                <w:bCs/>
                <w:color w:val="000000"/>
                <w:kern w:val="0"/>
                <w:sz w:val="18"/>
                <w:szCs w:val="18"/>
              </w:rPr>
            </w:pPr>
            <w:r w:rsidRPr="000F14CA">
              <w:rPr>
                <w:rFonts w:ascii="Segoe UI" w:eastAsia="宋体" w:hAnsi="Segoe UI" w:cs="Segoe UI"/>
                <w:b/>
                <w:bCs/>
                <w:color w:val="000000"/>
                <w:kern w:val="0"/>
                <w:sz w:val="18"/>
                <w:szCs w:val="18"/>
              </w:rPr>
              <w:t>55</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xml:space="preserve">What is </w:t>
            </w:r>
            <w:r w:rsidRPr="000F14CA">
              <w:rPr>
                <w:rFonts w:ascii="Segoe UI" w:eastAsia="宋体" w:hAnsi="Segoe UI" w:cs="Segoe UI"/>
                <w:i/>
                <w:iCs/>
                <w:color w:val="333333"/>
                <w:kern w:val="0"/>
                <w:sz w:val="18"/>
                <w:szCs w:val="18"/>
              </w:rPr>
              <w:t>closest</w:t>
            </w:r>
            <w:r w:rsidRPr="000F14CA">
              <w:rPr>
                <w:rFonts w:ascii="Segoe UI" w:eastAsia="宋体" w:hAnsi="Segoe UI" w:cs="Segoe UI"/>
                <w:color w:val="333333"/>
                <w:kern w:val="0"/>
                <w:sz w:val="18"/>
                <w:szCs w:val="18"/>
              </w:rPr>
              <w:t xml:space="preserve"> to the value of a 10-year, 6 percent coupon, </w:t>
            </w:r>
            <w:proofErr w:type="gramStart"/>
            <w:r w:rsidRPr="000F14CA">
              <w:rPr>
                <w:rFonts w:ascii="Segoe UI" w:eastAsia="宋体" w:hAnsi="Segoe UI" w:cs="Segoe UI"/>
                <w:color w:val="333333"/>
                <w:kern w:val="0"/>
                <w:sz w:val="18"/>
                <w:szCs w:val="18"/>
              </w:rPr>
              <w:t>$</w:t>
            </w:r>
            <w:proofErr w:type="gramEnd"/>
            <w:r w:rsidRPr="000F14CA">
              <w:rPr>
                <w:rFonts w:ascii="Segoe UI" w:eastAsia="宋体" w:hAnsi="Segoe UI" w:cs="Segoe UI"/>
                <w:color w:val="333333"/>
                <w:kern w:val="0"/>
                <w:sz w:val="18"/>
                <w:szCs w:val="18"/>
              </w:rPr>
              <w:t>100 par value bond with semiannual payments assuming an annual discount rate of 7 percent?</w:t>
            </w: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63" type="#_x0000_t75" style="width:20.25pt;height:15.75pt" o:ole="">
                  <v:imagedata r:id="rId7" o:title=""/>
                </v:shape>
                <w:control r:id="rId171" w:name="DefaultOcxName74" w:shapeid="_x0000_i156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A.</w:t>
            </w:r>
            <w:r w:rsidRPr="000F14CA">
              <w:rPr>
                <w:rFonts w:ascii="Segoe UI" w:eastAsia="宋体" w:hAnsi="Segoe UI" w:cs="Segoe UI"/>
                <w:color w:val="000000"/>
                <w:kern w:val="0"/>
                <w:sz w:val="18"/>
                <w:szCs w:val="18"/>
              </w:rPr>
              <w:t xml:space="preserve"> $92.89</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62" type="#_x0000_t75" style="width:20.25pt;height:15.75pt" o:ole="">
                  <v:imagedata r:id="rId9" o:title=""/>
                </v:shape>
                <w:control r:id="rId172" w:name="DefaultOcxName154" w:shapeid="_x0000_i156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B.</w:t>
            </w:r>
            <w:r w:rsidRPr="000F14CA">
              <w:rPr>
                <w:rFonts w:ascii="Segoe UI" w:eastAsia="宋体" w:hAnsi="Segoe UI" w:cs="Segoe UI"/>
                <w:color w:val="000000"/>
                <w:kern w:val="0"/>
                <w:sz w:val="18"/>
                <w:szCs w:val="18"/>
              </w:rPr>
              <w:t xml:space="preserve"> $99.07</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61" type="#_x0000_t75" style="width:20.25pt;height:15.75pt" o:ole="">
                  <v:imagedata r:id="rId9" o:title=""/>
                </v:shape>
                <w:control r:id="rId173" w:name="DefaultOcxName254" w:shapeid="_x0000_i156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C.</w:t>
            </w:r>
            <w:r w:rsidRPr="000F14CA">
              <w:rPr>
                <w:rFonts w:ascii="Segoe UI" w:eastAsia="宋体" w:hAnsi="Segoe UI" w:cs="Segoe UI"/>
                <w:color w:val="000000"/>
                <w:kern w:val="0"/>
                <w:sz w:val="18"/>
                <w:szCs w:val="18"/>
              </w:rPr>
              <w:t xml:space="preserve"> $107.44</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noWrap/>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0" w:type="auto"/>
            <w:gridSpan w:val="5"/>
            <w:shd w:val="clear" w:color="auto" w:fill="9ACD32"/>
            <w:vAlign w:val="center"/>
            <w:hideMark/>
          </w:tcPr>
          <w:p w:rsidR="000F14CA" w:rsidRPr="000F14CA" w:rsidRDefault="000F14CA" w:rsidP="000F14CA">
            <w:pPr>
              <w:widowControl/>
              <w:spacing w:after="240"/>
              <w:jc w:val="left"/>
              <w:rPr>
                <w:rFonts w:ascii="Segoe UI" w:eastAsia="宋体" w:hAnsi="Segoe UI" w:cs="Segoe UI"/>
                <w:color w:val="333333"/>
                <w:kern w:val="0"/>
                <w:sz w:val="18"/>
                <w:szCs w:val="18"/>
              </w:rPr>
            </w:pPr>
            <w:r w:rsidRPr="000F14CA">
              <w:rPr>
                <w:rFonts w:ascii="Segoe UI" w:eastAsia="宋体" w:hAnsi="Segoe UI" w:cs="Segoe UI"/>
                <w:b/>
                <w:bCs/>
                <w:color w:val="000080"/>
                <w:kern w:val="0"/>
                <w:sz w:val="16"/>
                <w:szCs w:val="16"/>
              </w:rPr>
              <w:t>Feedback:</w:t>
            </w:r>
            <w:r w:rsidRPr="000F14CA">
              <w:rPr>
                <w:rFonts w:ascii="Segoe UI" w:eastAsia="宋体" w:hAnsi="Segoe UI" w:cs="Segoe UI"/>
                <w:color w:val="333333"/>
                <w:kern w:val="0"/>
                <w:sz w:val="18"/>
                <w:szCs w:val="18"/>
              </w:rPr>
              <w:t xml:space="preserve"> You have answered correctly.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Correct answer: </w:t>
            </w:r>
            <w:r w:rsidRPr="000F14CA">
              <w:rPr>
                <w:rFonts w:ascii="Segoe UI" w:eastAsia="宋体" w:hAnsi="Segoe UI" w:cs="Segoe UI"/>
                <w:b/>
                <w:bCs/>
                <w:color w:val="333333"/>
                <w:kern w:val="0"/>
                <w:sz w:val="18"/>
                <w:szCs w:val="18"/>
              </w:rPr>
              <w:t>A</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"Introduction to the Valuation of Debt Securities," Frank J. </w:t>
            </w:r>
            <w:proofErr w:type="spellStart"/>
            <w:r w:rsidRPr="000F14CA">
              <w:rPr>
                <w:rFonts w:ascii="Segoe UI" w:eastAsia="宋体" w:hAnsi="Segoe UI" w:cs="Segoe UI"/>
                <w:color w:val="333333"/>
                <w:kern w:val="0"/>
                <w:sz w:val="18"/>
                <w:szCs w:val="18"/>
              </w:rPr>
              <w:t>Fabozzi</w:t>
            </w:r>
            <w:proofErr w:type="spellEnd"/>
            <w:r w:rsidRPr="000F14CA">
              <w:rPr>
                <w:rFonts w:ascii="Segoe UI" w:eastAsia="宋体" w:hAnsi="Segoe UI" w:cs="Segoe UI"/>
                <w:color w:val="333333"/>
                <w:kern w:val="0"/>
                <w:sz w:val="18"/>
                <w:szCs w:val="18"/>
              </w:rPr>
              <w:t>, CFA</w:t>
            </w:r>
            <w:r w:rsidRPr="000F14CA">
              <w:rPr>
                <w:rFonts w:ascii="Segoe UI" w:eastAsia="宋体" w:hAnsi="Segoe UI" w:cs="Segoe UI"/>
                <w:color w:val="333333"/>
                <w:kern w:val="0"/>
                <w:sz w:val="18"/>
                <w:szCs w:val="18"/>
              </w:rPr>
              <w:br/>
              <w:t>2011 Modular Level I, Vol. 5, pp. 496–498</w:t>
            </w:r>
            <w:r w:rsidRPr="000F14CA">
              <w:rPr>
                <w:rFonts w:ascii="Segoe UI" w:eastAsia="宋体" w:hAnsi="Segoe UI" w:cs="Segoe UI"/>
                <w:color w:val="333333"/>
                <w:kern w:val="0"/>
                <w:sz w:val="18"/>
                <w:szCs w:val="18"/>
              </w:rPr>
              <w:br/>
              <w:t>Study Session 16–65–c</w:t>
            </w:r>
            <w:r w:rsidRPr="000F14CA">
              <w:rPr>
                <w:rFonts w:ascii="Segoe UI" w:eastAsia="宋体" w:hAnsi="Segoe UI" w:cs="Segoe UI"/>
                <w:color w:val="333333"/>
                <w:kern w:val="0"/>
                <w:sz w:val="18"/>
                <w:szCs w:val="18"/>
              </w:rPr>
              <w:br/>
              <w:t>Calculate the value of a bond and the change in value that is attributable to a change in the discount rate.</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A security with 19 semiannual payments of $3 interest and a 20th payment of $103 (interest plus return of face value) with a semiannual discount rate of 3.5% is $92.89 or</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r>
            <w:r>
              <w:rPr>
                <w:rFonts w:ascii="Segoe UI" w:eastAsia="宋体" w:hAnsi="Segoe UI" w:cs="Segoe UI"/>
                <w:noProof/>
                <w:color w:val="333333"/>
                <w:kern w:val="0"/>
                <w:sz w:val="18"/>
                <w:szCs w:val="18"/>
              </w:rPr>
              <w:drawing>
                <wp:inline distT="0" distB="0" distL="0" distR="0">
                  <wp:extent cx="2905125" cy="1028700"/>
                  <wp:effectExtent l="19050" t="0" r="9525" b="0"/>
                  <wp:docPr id="529" name="图片 529" descr="https://nlb4.testrac.com/cfa/graphics/FIL1V2201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nlb4.testrac.com/cfa/graphics/FIL1V2201104.jpg"/>
                          <pic:cNvPicPr>
                            <a:picLocks noChangeAspect="1" noChangeArrowheads="1"/>
                          </pic:cNvPicPr>
                        </pic:nvPicPr>
                        <pic:blipFill>
                          <a:blip r:embed="rId174"/>
                          <a:srcRect/>
                          <a:stretch>
                            <a:fillRect/>
                          </a:stretch>
                        </pic:blipFill>
                        <pic:spPr bwMode="auto">
                          <a:xfrm>
                            <a:off x="0" y="0"/>
                            <a:ext cx="2905125" cy="1028700"/>
                          </a:xfrm>
                          <a:prstGeom prst="rect">
                            <a:avLst/>
                          </a:prstGeom>
                          <a:noFill/>
                          <a:ln w="9525">
                            <a:noFill/>
                            <a:miter lim="800000"/>
                            <a:headEnd/>
                            <a:tailEnd/>
                          </a:ln>
                        </pic:spPr>
                      </pic:pic>
                    </a:graphicData>
                  </a:graphic>
                </wp:inline>
              </w:drawing>
            </w:r>
          </w:p>
        </w:tc>
      </w:tr>
    </w:tbl>
    <w:p w:rsidR="000F14CA" w:rsidRDefault="000F14CA">
      <w:pPr>
        <w:rPr>
          <w:rFonts w:hint="eastAsia"/>
        </w:rPr>
      </w:pPr>
    </w:p>
    <w:tbl>
      <w:tblPr>
        <w:tblW w:w="5000" w:type="pct"/>
        <w:tblCellSpacing w:w="15" w:type="dxa"/>
        <w:tblCellMar>
          <w:top w:w="30" w:type="dxa"/>
          <w:left w:w="30" w:type="dxa"/>
          <w:bottom w:w="30" w:type="dxa"/>
          <w:right w:w="30" w:type="dxa"/>
        </w:tblCellMar>
        <w:tblLook w:val="04A0"/>
      </w:tblPr>
      <w:tblGrid>
        <w:gridCol w:w="420"/>
        <w:gridCol w:w="970"/>
        <w:gridCol w:w="6514"/>
        <w:gridCol w:w="179"/>
        <w:gridCol w:w="179"/>
        <w:gridCol w:w="194"/>
      </w:tblGrid>
      <w:tr w:rsidR="000F14CA" w:rsidRPr="000F14CA" w:rsidTr="000F14CA">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0F14CA" w:rsidRPr="000F14CA" w:rsidRDefault="000F14CA" w:rsidP="000F14CA">
            <w:pPr>
              <w:widowControl/>
              <w:jc w:val="left"/>
              <w:rPr>
                <w:rFonts w:ascii="Segoe UI" w:eastAsia="宋体" w:hAnsi="Segoe UI" w:cs="Segoe UI"/>
                <w:b/>
                <w:bCs/>
                <w:color w:val="000000"/>
                <w:kern w:val="0"/>
                <w:sz w:val="18"/>
                <w:szCs w:val="18"/>
              </w:rPr>
            </w:pPr>
            <w:r w:rsidRPr="000F14CA">
              <w:rPr>
                <w:rFonts w:ascii="Segoe UI" w:eastAsia="宋体" w:hAnsi="Segoe UI" w:cs="Segoe UI"/>
                <w:b/>
                <w:bCs/>
                <w:color w:val="000000"/>
                <w:kern w:val="0"/>
                <w:sz w:val="18"/>
                <w:szCs w:val="18"/>
              </w:rPr>
              <w:t>56</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xml:space="preserve">Consider a $100 par value bond with a 7 percent coupon paid annually and 5 years to maturity. At a discount rate of 6.0 percent, the value of the bond is $104.21. One year later, the appropriate discount rate has risen to 6.5 percent and the bond’s value is $101.71. What part of this change in value is </w:t>
            </w:r>
            <w:r w:rsidRPr="000F14CA">
              <w:rPr>
                <w:rFonts w:ascii="Segoe UI" w:eastAsia="宋体" w:hAnsi="Segoe UI" w:cs="Segoe UI"/>
                <w:i/>
                <w:iCs/>
                <w:color w:val="333333"/>
                <w:kern w:val="0"/>
                <w:sz w:val="18"/>
                <w:szCs w:val="18"/>
              </w:rPr>
              <w:t>most likely</w:t>
            </w:r>
            <w:r w:rsidRPr="000F14CA">
              <w:rPr>
                <w:rFonts w:ascii="Segoe UI" w:eastAsia="宋体" w:hAnsi="Segoe UI" w:cs="Segoe UI"/>
                <w:color w:val="333333"/>
                <w:kern w:val="0"/>
                <w:sz w:val="18"/>
                <w:szCs w:val="18"/>
              </w:rPr>
              <w:t xml:space="preserve"> attributable to the passage of time?</w:t>
            </w: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74" type="#_x0000_t75" style="width:20.25pt;height:15.75pt" o:ole="">
                  <v:imagedata r:id="rId7" o:title=""/>
                </v:shape>
                <w:control r:id="rId175" w:name="DefaultOcxName75" w:shapeid="_x0000_i157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A.</w:t>
            </w:r>
            <w:r w:rsidRPr="000F14CA">
              <w:rPr>
                <w:rFonts w:ascii="Segoe UI" w:eastAsia="宋体" w:hAnsi="Segoe UI" w:cs="Segoe UI"/>
                <w:color w:val="000000"/>
                <w:kern w:val="0"/>
                <w:sz w:val="18"/>
                <w:szCs w:val="18"/>
              </w:rPr>
              <w:t xml:space="preserve"> $0.37</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73" type="#_x0000_t75" style="width:20.25pt;height:15.75pt" o:ole="">
                  <v:imagedata r:id="rId9" o:title=""/>
                </v:shape>
                <w:control r:id="rId176" w:name="DefaultOcxName155" w:shapeid="_x0000_i157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B.</w:t>
            </w:r>
            <w:r w:rsidRPr="000F14CA">
              <w:rPr>
                <w:rFonts w:ascii="Segoe UI" w:eastAsia="宋体" w:hAnsi="Segoe UI" w:cs="Segoe UI"/>
                <w:color w:val="000000"/>
                <w:kern w:val="0"/>
                <w:sz w:val="18"/>
                <w:szCs w:val="18"/>
              </w:rPr>
              <w:t xml:space="preserve"> $0.74</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72" type="#_x0000_t75" style="width:20.25pt;height:15.75pt" o:ole="">
                  <v:imagedata r:id="rId9" o:title=""/>
                </v:shape>
                <w:control r:id="rId177" w:name="DefaultOcxName255" w:shapeid="_x0000_i157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C.</w:t>
            </w:r>
            <w:r w:rsidRPr="000F14CA">
              <w:rPr>
                <w:rFonts w:ascii="Segoe UI" w:eastAsia="宋体" w:hAnsi="Segoe UI" w:cs="Segoe UI"/>
                <w:color w:val="000000"/>
                <w:kern w:val="0"/>
                <w:sz w:val="18"/>
                <w:szCs w:val="18"/>
              </w:rPr>
              <w:t xml:space="preserve"> $1.76</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noWrap/>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0" w:type="auto"/>
            <w:gridSpan w:val="5"/>
            <w:shd w:val="clear" w:color="auto" w:fill="FF6347"/>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000080"/>
                <w:kern w:val="0"/>
                <w:sz w:val="16"/>
                <w:szCs w:val="16"/>
              </w:rPr>
              <w:t>Feedback:</w:t>
            </w:r>
            <w:r w:rsidRPr="000F14CA">
              <w:rPr>
                <w:rFonts w:ascii="Segoe UI" w:eastAsia="宋体" w:hAnsi="Segoe UI" w:cs="Segoe UI"/>
                <w:color w:val="333333"/>
                <w:kern w:val="0"/>
                <w:sz w:val="18"/>
                <w:szCs w:val="18"/>
              </w:rPr>
              <w:t xml:space="preserve"> You have answered incorrectly.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Correct answer: </w:t>
            </w:r>
            <w:r w:rsidRPr="000F14CA">
              <w:rPr>
                <w:rFonts w:ascii="Segoe UI" w:eastAsia="宋体" w:hAnsi="Segoe UI" w:cs="Segoe UI"/>
                <w:b/>
                <w:bCs/>
                <w:color w:val="333333"/>
                <w:kern w:val="0"/>
                <w:sz w:val="18"/>
                <w:szCs w:val="18"/>
              </w:rPr>
              <w:t>B</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lastRenderedPageBreak/>
              <w:t xml:space="preserve">"Introduction to the Valuation of Debt Securities," Frank J. </w:t>
            </w:r>
            <w:proofErr w:type="spellStart"/>
            <w:r w:rsidRPr="000F14CA">
              <w:rPr>
                <w:rFonts w:ascii="Segoe UI" w:eastAsia="宋体" w:hAnsi="Segoe UI" w:cs="Segoe UI"/>
                <w:color w:val="333333"/>
                <w:kern w:val="0"/>
                <w:sz w:val="18"/>
                <w:szCs w:val="18"/>
              </w:rPr>
              <w:t>Fabozzi</w:t>
            </w:r>
            <w:proofErr w:type="spellEnd"/>
            <w:r w:rsidRPr="000F14CA">
              <w:rPr>
                <w:rFonts w:ascii="Segoe UI" w:eastAsia="宋体" w:hAnsi="Segoe UI" w:cs="Segoe UI"/>
                <w:color w:val="333333"/>
                <w:kern w:val="0"/>
                <w:sz w:val="18"/>
                <w:szCs w:val="18"/>
              </w:rPr>
              <w:t>, CFA</w:t>
            </w:r>
            <w:r w:rsidRPr="000F14CA">
              <w:rPr>
                <w:rFonts w:ascii="Segoe UI" w:eastAsia="宋体" w:hAnsi="Segoe UI" w:cs="Segoe UI"/>
                <w:color w:val="333333"/>
                <w:kern w:val="0"/>
                <w:sz w:val="18"/>
                <w:szCs w:val="18"/>
              </w:rPr>
              <w:br/>
              <w:t>2011 Modular Level I, Vol. 5, pp. 492–495</w:t>
            </w:r>
            <w:r w:rsidRPr="000F14CA">
              <w:rPr>
                <w:rFonts w:ascii="Segoe UI" w:eastAsia="宋体" w:hAnsi="Segoe UI" w:cs="Segoe UI"/>
                <w:color w:val="333333"/>
                <w:kern w:val="0"/>
                <w:sz w:val="18"/>
                <w:szCs w:val="18"/>
              </w:rPr>
              <w:br/>
              <w:t>Study Session 16–65–d</w:t>
            </w:r>
            <w:r w:rsidRPr="000F14CA">
              <w:rPr>
                <w:rFonts w:ascii="Segoe UI" w:eastAsia="宋体" w:hAnsi="Segoe UI" w:cs="Segoe UI"/>
                <w:color w:val="333333"/>
                <w:kern w:val="0"/>
                <w:sz w:val="18"/>
                <w:szCs w:val="18"/>
              </w:rPr>
              <w:br/>
              <w:t>Explain how the price of a bond changes as the bond approaches its maturity date, and calculate the change in value that is attributable to the passage of time.</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With 4 years remaining to maturity and a discount rate that is unchanged at 6.0 percent, the value of the bond would be $103.47 or </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r>
            <w:r>
              <w:rPr>
                <w:rFonts w:ascii="Segoe UI" w:eastAsia="宋体" w:hAnsi="Segoe UI" w:cs="Segoe UI"/>
                <w:noProof/>
                <w:color w:val="333333"/>
                <w:kern w:val="0"/>
                <w:sz w:val="18"/>
                <w:szCs w:val="18"/>
              </w:rPr>
              <w:drawing>
                <wp:inline distT="0" distB="0" distL="0" distR="0">
                  <wp:extent cx="3533775" cy="323850"/>
                  <wp:effectExtent l="19050" t="0" r="9525" b="0"/>
                  <wp:docPr id="540" name="图片 540" descr="https://nlb4.testrac.com/cfa/graphics/FIL1V2201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s://nlb4.testrac.com/cfa/graphics/FIL1V2201105.jpg"/>
                          <pic:cNvPicPr>
                            <a:picLocks noChangeAspect="1" noChangeArrowheads="1"/>
                          </pic:cNvPicPr>
                        </pic:nvPicPr>
                        <pic:blipFill>
                          <a:blip r:embed="rId178"/>
                          <a:srcRect/>
                          <a:stretch>
                            <a:fillRect/>
                          </a:stretch>
                        </pic:blipFill>
                        <pic:spPr bwMode="auto">
                          <a:xfrm>
                            <a:off x="0" y="0"/>
                            <a:ext cx="3533775" cy="323850"/>
                          </a:xfrm>
                          <a:prstGeom prst="rect">
                            <a:avLst/>
                          </a:prstGeom>
                          <a:noFill/>
                          <a:ln w="9525">
                            <a:noFill/>
                            <a:miter lim="800000"/>
                            <a:headEnd/>
                            <a:tailEnd/>
                          </a:ln>
                        </pic:spPr>
                      </pic:pic>
                    </a:graphicData>
                  </a:graphic>
                </wp:inline>
              </w:drawing>
            </w:r>
            <w:r w:rsidRPr="000F14CA">
              <w:rPr>
                <w:rFonts w:ascii="Segoe UI" w:eastAsia="宋体" w:hAnsi="Segoe UI" w:cs="Segoe UI"/>
                <w:color w:val="333333"/>
                <w:kern w:val="0"/>
                <w:sz w:val="18"/>
                <w:szCs w:val="18"/>
              </w:rPr>
              <w:t> </w:t>
            </w:r>
          </w:p>
        </w:tc>
      </w:tr>
    </w:tbl>
    <w:p w:rsidR="000F14CA" w:rsidRDefault="000F14CA">
      <w:pPr>
        <w:rPr>
          <w:rFonts w:hint="eastAsia"/>
        </w:rPr>
      </w:pPr>
    </w:p>
    <w:tbl>
      <w:tblPr>
        <w:tblW w:w="5000" w:type="pct"/>
        <w:tblCellSpacing w:w="15" w:type="dxa"/>
        <w:tblCellMar>
          <w:top w:w="30" w:type="dxa"/>
          <w:left w:w="30" w:type="dxa"/>
          <w:bottom w:w="30" w:type="dxa"/>
          <w:right w:w="30" w:type="dxa"/>
        </w:tblCellMar>
        <w:tblLook w:val="04A0"/>
      </w:tblPr>
      <w:tblGrid>
        <w:gridCol w:w="420"/>
        <w:gridCol w:w="731"/>
        <w:gridCol w:w="7002"/>
        <w:gridCol w:w="96"/>
        <w:gridCol w:w="96"/>
        <w:gridCol w:w="111"/>
      </w:tblGrid>
      <w:tr w:rsidR="000F14CA" w:rsidRPr="000F14CA" w:rsidTr="000F14CA">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0F14CA" w:rsidRPr="000F14CA" w:rsidRDefault="000F14CA" w:rsidP="000F14CA">
            <w:pPr>
              <w:widowControl/>
              <w:jc w:val="left"/>
              <w:rPr>
                <w:rFonts w:ascii="Segoe UI" w:eastAsia="宋体" w:hAnsi="Segoe UI" w:cs="Segoe UI"/>
                <w:b/>
                <w:bCs/>
                <w:color w:val="000000"/>
                <w:kern w:val="0"/>
                <w:sz w:val="18"/>
                <w:szCs w:val="18"/>
              </w:rPr>
            </w:pPr>
            <w:r w:rsidRPr="000F14CA">
              <w:rPr>
                <w:rFonts w:ascii="Segoe UI" w:eastAsia="宋体" w:hAnsi="Segoe UI" w:cs="Segoe UI"/>
                <w:b/>
                <w:bCs/>
                <w:color w:val="000000"/>
                <w:kern w:val="0"/>
                <w:sz w:val="18"/>
                <w:szCs w:val="18"/>
              </w:rPr>
              <w:t>57</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xml:space="preserve">A fixed-income security’s current price is 101.45. You estimate that the price will rise to 103.28 if interest rates decrease 0.25 percent and will fall to 100.81 if interest rates increase 0.25 percent. The security’s effective duration is </w:t>
            </w:r>
            <w:r w:rsidRPr="000F14CA">
              <w:rPr>
                <w:rFonts w:ascii="Segoe UI" w:eastAsia="宋体" w:hAnsi="Segoe UI" w:cs="Segoe UI"/>
                <w:i/>
                <w:iCs/>
                <w:color w:val="333333"/>
                <w:kern w:val="0"/>
                <w:sz w:val="18"/>
                <w:szCs w:val="18"/>
              </w:rPr>
              <w:t>closest</w:t>
            </w:r>
            <w:r w:rsidRPr="000F14CA">
              <w:rPr>
                <w:rFonts w:ascii="Segoe UI" w:eastAsia="宋体" w:hAnsi="Segoe UI" w:cs="Segoe UI"/>
                <w:color w:val="333333"/>
                <w:kern w:val="0"/>
                <w:sz w:val="18"/>
                <w:szCs w:val="18"/>
              </w:rPr>
              <w:t xml:space="preserve"> to:</w:t>
            </w: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83" type="#_x0000_t75" style="width:20.25pt;height:15.75pt" o:ole="">
                  <v:imagedata r:id="rId7" o:title=""/>
                </v:shape>
                <w:control r:id="rId179" w:name="DefaultOcxName76" w:shapeid="_x0000_i158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A.</w:t>
            </w:r>
            <w:r w:rsidRPr="000F14CA">
              <w:rPr>
                <w:rFonts w:ascii="Segoe UI" w:eastAsia="宋体" w:hAnsi="Segoe UI" w:cs="Segoe UI"/>
                <w:color w:val="000000"/>
                <w:kern w:val="0"/>
                <w:sz w:val="18"/>
                <w:szCs w:val="18"/>
              </w:rPr>
              <w:t xml:space="preserve"> 1.22.</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82" type="#_x0000_t75" style="width:20.25pt;height:15.75pt" o:ole="">
                  <v:imagedata r:id="rId9" o:title=""/>
                </v:shape>
                <w:control r:id="rId180" w:name="DefaultOcxName156" w:shapeid="_x0000_i158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B.</w:t>
            </w:r>
            <w:r w:rsidRPr="000F14CA">
              <w:rPr>
                <w:rFonts w:ascii="Segoe UI" w:eastAsia="宋体" w:hAnsi="Segoe UI" w:cs="Segoe UI"/>
                <w:color w:val="000000"/>
                <w:kern w:val="0"/>
                <w:sz w:val="18"/>
                <w:szCs w:val="18"/>
              </w:rPr>
              <w:t xml:space="preserve"> 4.87.</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81" type="#_x0000_t75" style="width:20.25pt;height:15.75pt" o:ole="">
                  <v:imagedata r:id="rId9" o:title=""/>
                </v:shape>
                <w:control r:id="rId181" w:name="DefaultOcxName256" w:shapeid="_x0000_i158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C.</w:t>
            </w:r>
            <w:r w:rsidRPr="000F14CA">
              <w:rPr>
                <w:rFonts w:ascii="Segoe UI" w:eastAsia="宋体" w:hAnsi="Segoe UI" w:cs="Segoe UI"/>
                <w:color w:val="000000"/>
                <w:kern w:val="0"/>
                <w:sz w:val="18"/>
                <w:szCs w:val="18"/>
              </w:rPr>
              <w:t xml:space="preserve"> 9.74.</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noWrap/>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0" w:type="auto"/>
            <w:gridSpan w:val="5"/>
            <w:shd w:val="clear" w:color="auto" w:fill="FF6347"/>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000080"/>
                <w:kern w:val="0"/>
                <w:sz w:val="16"/>
                <w:szCs w:val="16"/>
              </w:rPr>
              <w:t>Feedback:</w:t>
            </w:r>
            <w:r w:rsidRPr="000F14CA">
              <w:rPr>
                <w:rFonts w:ascii="Segoe UI" w:eastAsia="宋体" w:hAnsi="Segoe UI" w:cs="Segoe UI"/>
                <w:color w:val="333333"/>
                <w:kern w:val="0"/>
                <w:sz w:val="18"/>
                <w:szCs w:val="18"/>
              </w:rPr>
              <w:t xml:space="preserve"> You have answered incorrectly.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Correct answer: </w:t>
            </w:r>
            <w:r w:rsidRPr="000F14CA">
              <w:rPr>
                <w:rFonts w:ascii="Segoe UI" w:eastAsia="宋体" w:hAnsi="Segoe UI" w:cs="Segoe UI"/>
                <w:b/>
                <w:bCs/>
                <w:color w:val="333333"/>
                <w:kern w:val="0"/>
                <w:sz w:val="18"/>
                <w:szCs w:val="18"/>
              </w:rPr>
              <w:t>B</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"Introduction to the Measurement of Interest Rate Risk," Frank J. </w:t>
            </w:r>
            <w:proofErr w:type="spellStart"/>
            <w:r w:rsidRPr="000F14CA">
              <w:rPr>
                <w:rFonts w:ascii="Segoe UI" w:eastAsia="宋体" w:hAnsi="Segoe UI" w:cs="Segoe UI"/>
                <w:color w:val="333333"/>
                <w:kern w:val="0"/>
                <w:sz w:val="18"/>
                <w:szCs w:val="18"/>
              </w:rPr>
              <w:t>Fabozzi</w:t>
            </w:r>
            <w:proofErr w:type="spellEnd"/>
            <w:r w:rsidRPr="000F14CA">
              <w:rPr>
                <w:rFonts w:ascii="Segoe UI" w:eastAsia="宋体" w:hAnsi="Segoe UI" w:cs="Segoe UI"/>
                <w:color w:val="333333"/>
                <w:kern w:val="0"/>
                <w:sz w:val="18"/>
                <w:szCs w:val="18"/>
              </w:rPr>
              <w:t>, CFA</w:t>
            </w:r>
            <w:r w:rsidRPr="000F14CA">
              <w:rPr>
                <w:rFonts w:ascii="Segoe UI" w:eastAsia="宋体" w:hAnsi="Segoe UI" w:cs="Segoe UI"/>
                <w:color w:val="333333"/>
                <w:kern w:val="0"/>
                <w:sz w:val="18"/>
                <w:szCs w:val="18"/>
              </w:rPr>
              <w:br/>
              <w:t>2011 Modular Level I, Vol. 5, pp. 532–533</w:t>
            </w:r>
            <w:r w:rsidRPr="000F14CA">
              <w:rPr>
                <w:rFonts w:ascii="Segoe UI" w:eastAsia="宋体" w:hAnsi="Segoe UI" w:cs="Segoe UI"/>
                <w:color w:val="333333"/>
                <w:kern w:val="0"/>
                <w:sz w:val="18"/>
                <w:szCs w:val="18"/>
              </w:rPr>
              <w:br/>
              <w:t>Study Session 16–67–d</w:t>
            </w:r>
            <w:r w:rsidRPr="000F14CA">
              <w:rPr>
                <w:rFonts w:ascii="Segoe UI" w:eastAsia="宋体" w:hAnsi="Segoe UI" w:cs="Segoe UI"/>
                <w:color w:val="333333"/>
                <w:kern w:val="0"/>
                <w:sz w:val="18"/>
                <w:szCs w:val="18"/>
              </w:rPr>
              <w:br/>
              <w:t>Calculate and interpret the effective duration of a bond, given information about how the bond's price will increase and decrease for given changes in interest rates.</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The effective duration equals: </w:t>
            </w:r>
            <w:r w:rsidRPr="000F14CA">
              <w:rPr>
                <w:rFonts w:ascii="Segoe UI" w:eastAsia="宋体" w:hAnsi="Segoe UI" w:cs="Segoe UI"/>
                <w:color w:val="333333"/>
                <w:kern w:val="0"/>
                <w:sz w:val="18"/>
                <w:szCs w:val="18"/>
              </w:rPr>
              <w:br/>
              <w:t xml:space="preserve">(price if rates fall – price if rates rise) / (2 × current price × change in rates) </w:t>
            </w:r>
            <w:r w:rsidRPr="000F14CA">
              <w:rPr>
                <w:rFonts w:ascii="Segoe UI" w:eastAsia="宋体" w:hAnsi="Segoe UI" w:cs="Segoe UI"/>
                <w:color w:val="333333"/>
                <w:kern w:val="0"/>
                <w:sz w:val="18"/>
                <w:szCs w:val="18"/>
              </w:rPr>
              <w:br/>
              <w:t>= (103.28 – 100.81) / (2 × 101.45 × 0.0025) = 4.87. </w:t>
            </w:r>
          </w:p>
        </w:tc>
      </w:tr>
    </w:tbl>
    <w:p w:rsidR="000F14CA" w:rsidRDefault="000F14CA">
      <w:pPr>
        <w:rPr>
          <w:rFonts w:hint="eastAsia"/>
        </w:rPr>
      </w:pPr>
    </w:p>
    <w:tbl>
      <w:tblPr>
        <w:tblW w:w="5000" w:type="pct"/>
        <w:tblCellSpacing w:w="15" w:type="dxa"/>
        <w:tblCellMar>
          <w:top w:w="30" w:type="dxa"/>
          <w:left w:w="30" w:type="dxa"/>
          <w:bottom w:w="30" w:type="dxa"/>
          <w:right w:w="30" w:type="dxa"/>
        </w:tblCellMar>
        <w:tblLook w:val="04A0"/>
      </w:tblPr>
      <w:tblGrid>
        <w:gridCol w:w="420"/>
        <w:gridCol w:w="554"/>
        <w:gridCol w:w="7170"/>
        <w:gridCol w:w="99"/>
        <w:gridCol w:w="99"/>
        <w:gridCol w:w="114"/>
      </w:tblGrid>
      <w:tr w:rsidR="000F14CA" w:rsidRPr="000F14CA" w:rsidTr="000F14CA">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0F14CA" w:rsidRPr="000F14CA" w:rsidRDefault="000F14CA" w:rsidP="000F14CA">
            <w:pPr>
              <w:widowControl/>
              <w:jc w:val="left"/>
              <w:rPr>
                <w:rFonts w:ascii="Segoe UI" w:eastAsia="宋体" w:hAnsi="Segoe UI" w:cs="Segoe UI"/>
                <w:b/>
                <w:bCs/>
                <w:color w:val="000000"/>
                <w:kern w:val="0"/>
                <w:sz w:val="18"/>
                <w:szCs w:val="18"/>
              </w:rPr>
            </w:pPr>
            <w:r w:rsidRPr="000F14CA">
              <w:rPr>
                <w:rFonts w:ascii="Segoe UI" w:eastAsia="宋体" w:hAnsi="Segoe UI" w:cs="Segoe UI"/>
                <w:b/>
                <w:bCs/>
                <w:color w:val="000000"/>
                <w:kern w:val="0"/>
                <w:sz w:val="18"/>
                <w:szCs w:val="18"/>
              </w:rPr>
              <w:t>58</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An investor’s transactions in a mutual fund and the fund’s returns over a four-year period are provided in the table below:</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34"/>
              <w:gridCol w:w="1264"/>
              <w:gridCol w:w="1079"/>
              <w:gridCol w:w="1126"/>
              <w:gridCol w:w="1182"/>
            </w:tblGrid>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5220" w:type="dxa"/>
                  <w:gridSpan w:val="4"/>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Year</w:t>
                  </w:r>
                </w:p>
              </w:tc>
            </w:tr>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14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1</w:t>
                  </w:r>
                </w:p>
              </w:tc>
              <w:tc>
                <w:tcPr>
                  <w:tcW w:w="115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2</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3</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4</w:t>
                  </w:r>
                </w:p>
              </w:tc>
            </w:tr>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lastRenderedPageBreak/>
                    <w:t>New investment at the beginning of the year</w:t>
                  </w:r>
                </w:p>
              </w:tc>
              <w:tc>
                <w:tcPr>
                  <w:tcW w:w="14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$2,500.00</w:t>
                  </w:r>
                </w:p>
              </w:tc>
              <w:tc>
                <w:tcPr>
                  <w:tcW w:w="115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$1,500.00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$1,00.00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$500.00</w:t>
                  </w:r>
                </w:p>
              </w:tc>
            </w:tr>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Investment return for the year</w:t>
                  </w:r>
                </w:p>
              </w:tc>
              <w:tc>
                <w:tcPr>
                  <w:tcW w:w="14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–20%</w:t>
                  </w:r>
                </w:p>
              </w:tc>
              <w:tc>
                <w:tcPr>
                  <w:tcW w:w="115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65%</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–25%</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10%</w:t>
                  </w:r>
                </w:p>
              </w:tc>
            </w:tr>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Withdrawal by investor at the end of the year</w:t>
                  </w:r>
                </w:p>
              </w:tc>
              <w:tc>
                <w:tcPr>
                  <w:tcW w:w="14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$0.00</w:t>
                  </w:r>
                </w:p>
              </w:tc>
              <w:tc>
                <w:tcPr>
                  <w:tcW w:w="115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–$500.00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–$500.00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–$500.00</w:t>
                  </w:r>
                </w:p>
              </w:tc>
            </w:tr>
          </w:tbl>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br/>
              <w:t xml:space="preserve">Based on these data, the money-weighted return (or internal rate of return) for the investor is </w:t>
            </w:r>
            <w:r w:rsidRPr="000F14CA">
              <w:rPr>
                <w:rFonts w:ascii="Segoe UI" w:eastAsia="宋体" w:hAnsi="Segoe UI" w:cs="Segoe UI"/>
                <w:i/>
                <w:iCs/>
                <w:color w:val="333333"/>
                <w:kern w:val="0"/>
                <w:sz w:val="18"/>
                <w:szCs w:val="18"/>
              </w:rPr>
              <w:t>closest</w:t>
            </w:r>
            <w:r w:rsidRPr="000F14CA">
              <w:rPr>
                <w:rFonts w:ascii="Segoe UI" w:eastAsia="宋体" w:hAnsi="Segoe UI" w:cs="Segoe UI"/>
                <w:color w:val="333333"/>
                <w:kern w:val="0"/>
                <w:sz w:val="18"/>
                <w:szCs w:val="18"/>
              </w:rPr>
              <w:t xml:space="preserve"> to:</w:t>
            </w: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94" type="#_x0000_t75" style="width:20.25pt;height:15.75pt" o:ole="">
                  <v:imagedata r:id="rId7" o:title=""/>
                </v:shape>
                <w:control r:id="rId182" w:name="DefaultOcxName77" w:shapeid="_x0000_i159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A.</w:t>
            </w:r>
            <w:r w:rsidRPr="000F14CA">
              <w:rPr>
                <w:rFonts w:ascii="Segoe UI" w:eastAsia="宋体" w:hAnsi="Segoe UI" w:cs="Segoe UI"/>
                <w:color w:val="000000"/>
                <w:kern w:val="0"/>
                <w:sz w:val="18"/>
                <w:szCs w:val="18"/>
              </w:rPr>
              <w:t xml:space="preserve"> 2.15%.</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93" type="#_x0000_t75" style="width:20.25pt;height:15.75pt" o:ole="">
                  <v:imagedata r:id="rId9" o:title=""/>
                </v:shape>
                <w:control r:id="rId183" w:name="DefaultOcxName157" w:shapeid="_x0000_i159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B.</w:t>
            </w:r>
            <w:r w:rsidRPr="000F14CA">
              <w:rPr>
                <w:rFonts w:ascii="Segoe UI" w:eastAsia="宋体" w:hAnsi="Segoe UI" w:cs="Segoe UI"/>
                <w:color w:val="000000"/>
                <w:kern w:val="0"/>
                <w:sz w:val="18"/>
                <w:szCs w:val="18"/>
              </w:rPr>
              <w:t xml:space="preserve"> 3.96%.</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592" type="#_x0000_t75" style="width:20.25pt;height:15.75pt" o:ole="">
                  <v:imagedata r:id="rId9" o:title=""/>
                </v:shape>
                <w:control r:id="rId184" w:name="DefaultOcxName257" w:shapeid="_x0000_i159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C.</w:t>
            </w:r>
            <w:r w:rsidRPr="000F14CA">
              <w:rPr>
                <w:rFonts w:ascii="Segoe UI" w:eastAsia="宋体" w:hAnsi="Segoe UI" w:cs="Segoe UI"/>
                <w:color w:val="000000"/>
                <w:kern w:val="0"/>
                <w:sz w:val="18"/>
                <w:szCs w:val="18"/>
              </w:rPr>
              <w:t xml:space="preserve"> 7.50%.</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noWrap/>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0" w:type="auto"/>
            <w:gridSpan w:val="5"/>
            <w:shd w:val="clear" w:color="auto" w:fill="FF6347"/>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000080"/>
                <w:kern w:val="0"/>
                <w:sz w:val="16"/>
                <w:szCs w:val="16"/>
              </w:rPr>
              <w:t>Feedback:</w:t>
            </w:r>
            <w:r w:rsidRPr="000F14CA">
              <w:rPr>
                <w:rFonts w:ascii="Segoe UI" w:eastAsia="宋体" w:hAnsi="Segoe UI" w:cs="Segoe UI"/>
                <w:color w:val="333333"/>
                <w:kern w:val="0"/>
                <w:sz w:val="18"/>
                <w:szCs w:val="18"/>
              </w:rPr>
              <w:t xml:space="preserve"> You have answered incorrectly.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Correct answer: </w:t>
            </w:r>
            <w:r w:rsidRPr="000F14CA">
              <w:rPr>
                <w:rFonts w:ascii="Segoe UI" w:eastAsia="宋体" w:hAnsi="Segoe UI" w:cs="Segoe UI"/>
                <w:b/>
                <w:bCs/>
                <w:color w:val="333333"/>
                <w:kern w:val="0"/>
                <w:sz w:val="18"/>
                <w:szCs w:val="18"/>
              </w:rPr>
              <w:t>B</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"Portfolio Risk and Return – Part I," Vijay </w:t>
            </w:r>
            <w:proofErr w:type="spellStart"/>
            <w:r w:rsidRPr="000F14CA">
              <w:rPr>
                <w:rFonts w:ascii="Segoe UI" w:eastAsia="宋体" w:hAnsi="Segoe UI" w:cs="Segoe UI"/>
                <w:color w:val="333333"/>
                <w:kern w:val="0"/>
                <w:sz w:val="18"/>
                <w:szCs w:val="18"/>
              </w:rPr>
              <w:t>Singal</w:t>
            </w:r>
            <w:proofErr w:type="spellEnd"/>
            <w:r w:rsidRPr="000F14CA">
              <w:rPr>
                <w:rFonts w:ascii="Segoe UI" w:eastAsia="宋体" w:hAnsi="Segoe UI" w:cs="Segoe UI"/>
                <w:color w:val="333333"/>
                <w:kern w:val="0"/>
                <w:sz w:val="18"/>
                <w:szCs w:val="18"/>
              </w:rPr>
              <w:br/>
              <w:t>2011 Modular Level I, Vol. 4, pp. 281–285</w:t>
            </w:r>
            <w:r w:rsidRPr="000F14CA">
              <w:rPr>
                <w:rFonts w:ascii="Segoe UI" w:eastAsia="宋体" w:hAnsi="Segoe UI" w:cs="Segoe UI"/>
                <w:color w:val="333333"/>
                <w:kern w:val="0"/>
                <w:sz w:val="18"/>
                <w:szCs w:val="18"/>
              </w:rPr>
              <w:br/>
              <w:t>Study Session 12–52–a</w:t>
            </w:r>
            <w:r w:rsidRPr="000F14CA">
              <w:rPr>
                <w:rFonts w:ascii="Segoe UI" w:eastAsia="宋体" w:hAnsi="Segoe UI" w:cs="Segoe UI"/>
                <w:color w:val="333333"/>
                <w:kern w:val="0"/>
                <w:sz w:val="18"/>
                <w:szCs w:val="18"/>
              </w:rPr>
              <w:br/>
              <w:t>Calculate and interpret major return measures and describe their applicability.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The calculations are shown below:</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43"/>
              <w:gridCol w:w="1265"/>
              <w:gridCol w:w="1080"/>
              <w:gridCol w:w="1170"/>
              <w:gridCol w:w="1157"/>
            </w:tblGrid>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Year</w:t>
                  </w:r>
                </w:p>
              </w:tc>
              <w:tc>
                <w:tcPr>
                  <w:tcW w:w="14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1</w:t>
                  </w:r>
                </w:p>
              </w:tc>
              <w:tc>
                <w:tcPr>
                  <w:tcW w:w="115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2</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3</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b/>
                      <w:bCs/>
                      <w:color w:val="333333"/>
                      <w:kern w:val="0"/>
                      <w:sz w:val="18"/>
                      <w:szCs w:val="18"/>
                    </w:rPr>
                    <w:t>4</w:t>
                  </w:r>
                </w:p>
              </w:tc>
            </w:tr>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xml:space="preserve">Starting balance </w:t>
                  </w:r>
                </w:p>
              </w:tc>
              <w:tc>
                <w:tcPr>
                  <w:tcW w:w="14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$0.00</w:t>
                  </w:r>
                </w:p>
              </w:tc>
              <w:tc>
                <w:tcPr>
                  <w:tcW w:w="115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$2,000.00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$5,275.00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$4,206.25</w:t>
                  </w:r>
                </w:p>
              </w:tc>
            </w:tr>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New investment at beginning of year</w:t>
                  </w:r>
                </w:p>
              </w:tc>
              <w:tc>
                <w:tcPr>
                  <w:tcW w:w="14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$2,500.00</w:t>
                  </w:r>
                </w:p>
              </w:tc>
              <w:tc>
                <w:tcPr>
                  <w:tcW w:w="115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$1,500.00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$1,000.00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$0.00</w:t>
                  </w:r>
                </w:p>
              </w:tc>
            </w:tr>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Net balance at beginning of year</w:t>
                  </w:r>
                </w:p>
              </w:tc>
              <w:tc>
                <w:tcPr>
                  <w:tcW w:w="14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$2,500.00</w:t>
                  </w:r>
                </w:p>
              </w:tc>
              <w:tc>
                <w:tcPr>
                  <w:tcW w:w="115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$3,500.00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$6,275.00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$4,206.25</w:t>
                  </w:r>
                </w:p>
              </w:tc>
            </w:tr>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Investment return for the year</w:t>
                  </w:r>
                </w:p>
              </w:tc>
              <w:tc>
                <w:tcPr>
                  <w:tcW w:w="14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–20%</w:t>
                  </w:r>
                </w:p>
              </w:tc>
              <w:tc>
                <w:tcPr>
                  <w:tcW w:w="115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65%</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–25%</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10%</w:t>
                  </w:r>
                </w:p>
              </w:tc>
            </w:tr>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Investment gain (loss)</w:t>
                  </w:r>
                </w:p>
              </w:tc>
              <w:tc>
                <w:tcPr>
                  <w:tcW w:w="14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–$500.00</w:t>
                  </w:r>
                </w:p>
              </w:tc>
              <w:tc>
                <w:tcPr>
                  <w:tcW w:w="115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$2,275.00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–$1,568.75</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$420.63</w:t>
                  </w:r>
                </w:p>
              </w:tc>
            </w:tr>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Withdrawal by investor at end of year</w:t>
                  </w:r>
                </w:p>
              </w:tc>
              <w:tc>
                <w:tcPr>
                  <w:tcW w:w="14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$0.00</w:t>
                  </w:r>
                </w:p>
              </w:tc>
              <w:tc>
                <w:tcPr>
                  <w:tcW w:w="115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–$500.00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–$500.00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$0.00</w:t>
                  </w:r>
                </w:p>
              </w:tc>
            </w:tr>
            <w:tr w:rsidR="000F14CA" w:rsidRPr="000F14CA">
              <w:trPr>
                <w:tblCellSpacing w:w="15" w:type="dxa"/>
              </w:trPr>
              <w:tc>
                <w:tcPr>
                  <w:tcW w:w="421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Balance at end of the year</w:t>
                  </w:r>
                </w:p>
              </w:tc>
              <w:tc>
                <w:tcPr>
                  <w:tcW w:w="142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$2,000.00</w:t>
                  </w:r>
                </w:p>
              </w:tc>
              <w:tc>
                <w:tcPr>
                  <w:tcW w:w="115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$5,275.00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$4,206.25</w:t>
                  </w:r>
                </w:p>
              </w:tc>
              <w:tc>
                <w:tcPr>
                  <w:tcW w:w="1245" w:type="dxa"/>
                  <w:tcBorders>
                    <w:top w:val="outset" w:sz="6" w:space="0" w:color="auto"/>
                    <w:left w:val="outset" w:sz="6" w:space="0" w:color="auto"/>
                    <w:bottom w:val="outset" w:sz="6" w:space="0" w:color="auto"/>
                    <w:right w:val="outset" w:sz="6" w:space="0" w:color="auto"/>
                  </w:tcBorders>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$4,626.88</w:t>
                  </w:r>
                </w:p>
              </w:tc>
            </w:tr>
          </w:tbl>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br/>
              <w:t xml:space="preserve">The money weighted return is calculated by solving for </w:t>
            </w:r>
            <w:proofErr w:type="spellStart"/>
            <w:r w:rsidRPr="000F14CA">
              <w:rPr>
                <w:rFonts w:ascii="Segoe UI" w:eastAsia="宋体" w:hAnsi="Segoe UI" w:cs="Segoe UI"/>
                <w:i/>
                <w:iCs/>
                <w:color w:val="333333"/>
                <w:kern w:val="0"/>
                <w:sz w:val="18"/>
                <w:szCs w:val="18"/>
              </w:rPr>
              <w:t>i</w:t>
            </w:r>
            <w:proofErr w:type="spellEnd"/>
            <w:r w:rsidRPr="000F14CA">
              <w:rPr>
                <w:rFonts w:ascii="Segoe UI" w:eastAsia="宋体" w:hAnsi="Segoe UI" w:cs="Segoe UI"/>
                <w:color w:val="333333"/>
                <w:kern w:val="0"/>
                <w:sz w:val="18"/>
                <w:szCs w:val="18"/>
              </w:rPr>
              <w:t xml:space="preserve"> in the equation below:</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r>
            <w:r>
              <w:rPr>
                <w:rFonts w:ascii="Segoe UI" w:eastAsia="宋体" w:hAnsi="Segoe UI" w:cs="Segoe UI"/>
                <w:noProof/>
                <w:color w:val="333333"/>
                <w:kern w:val="0"/>
                <w:sz w:val="18"/>
                <w:szCs w:val="18"/>
              </w:rPr>
              <w:drawing>
                <wp:inline distT="0" distB="0" distL="0" distR="0">
                  <wp:extent cx="2505075" cy="314325"/>
                  <wp:effectExtent l="19050" t="0" r="9525" b="0"/>
                  <wp:docPr id="560" name="图片 560" descr="https://nlb4.testrac.com/cfa/graphics/PML1V2201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s://nlb4.testrac.com/cfa/graphics/PML1V2201101.jpg"/>
                          <pic:cNvPicPr>
                            <a:picLocks noChangeAspect="1" noChangeArrowheads="1"/>
                          </pic:cNvPicPr>
                        </pic:nvPicPr>
                        <pic:blipFill>
                          <a:blip r:embed="rId185"/>
                          <a:srcRect/>
                          <a:stretch>
                            <a:fillRect/>
                          </a:stretch>
                        </pic:blipFill>
                        <pic:spPr bwMode="auto">
                          <a:xfrm>
                            <a:off x="0" y="0"/>
                            <a:ext cx="2505075" cy="314325"/>
                          </a:xfrm>
                          <a:prstGeom prst="rect">
                            <a:avLst/>
                          </a:prstGeom>
                          <a:noFill/>
                          <a:ln w="9525">
                            <a:noFill/>
                            <a:miter lim="800000"/>
                            <a:headEnd/>
                            <a:tailEnd/>
                          </a:ln>
                        </pic:spPr>
                      </pic:pic>
                    </a:graphicData>
                  </a:graphic>
                </wp:inline>
              </w:drawing>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lastRenderedPageBreak/>
              <w:br/>
              <w:t>CF1 = –1500</w:t>
            </w:r>
            <w:r w:rsidRPr="000F14CA">
              <w:rPr>
                <w:rFonts w:ascii="Segoe UI" w:eastAsia="宋体" w:hAnsi="Segoe UI" w:cs="Segoe UI"/>
                <w:color w:val="333333"/>
                <w:kern w:val="0"/>
                <w:sz w:val="18"/>
                <w:szCs w:val="18"/>
              </w:rPr>
              <w:br/>
              <w:t>CF2 = –500</w:t>
            </w:r>
            <w:r w:rsidRPr="000F14CA">
              <w:rPr>
                <w:rFonts w:ascii="Segoe UI" w:eastAsia="宋体" w:hAnsi="Segoe UI" w:cs="Segoe UI"/>
                <w:color w:val="333333"/>
                <w:kern w:val="0"/>
                <w:sz w:val="18"/>
                <w:szCs w:val="18"/>
              </w:rPr>
              <w:br/>
              <w:t>CF3 = 1000 – 500 = 500</w:t>
            </w:r>
            <w:r w:rsidRPr="000F14CA">
              <w:rPr>
                <w:rFonts w:ascii="Segoe UI" w:eastAsia="宋体" w:hAnsi="Segoe UI" w:cs="Segoe UI"/>
                <w:color w:val="333333"/>
                <w:kern w:val="0"/>
                <w:sz w:val="18"/>
                <w:szCs w:val="18"/>
              </w:rPr>
              <w:br/>
              <w:t>CF4 = 4,626.88  </w:t>
            </w:r>
          </w:p>
        </w:tc>
      </w:tr>
    </w:tbl>
    <w:p w:rsidR="000F14CA" w:rsidRDefault="000F14CA">
      <w:pPr>
        <w:rPr>
          <w:rFonts w:hint="eastAsia"/>
        </w:rPr>
      </w:pPr>
    </w:p>
    <w:tbl>
      <w:tblPr>
        <w:tblW w:w="5000" w:type="pct"/>
        <w:tblCellSpacing w:w="15" w:type="dxa"/>
        <w:tblCellMar>
          <w:top w:w="30" w:type="dxa"/>
          <w:left w:w="30" w:type="dxa"/>
          <w:bottom w:w="30" w:type="dxa"/>
          <w:right w:w="30" w:type="dxa"/>
        </w:tblCellMar>
        <w:tblLook w:val="04A0"/>
      </w:tblPr>
      <w:tblGrid>
        <w:gridCol w:w="420"/>
        <w:gridCol w:w="604"/>
        <w:gridCol w:w="7129"/>
        <w:gridCol w:w="96"/>
        <w:gridCol w:w="96"/>
        <w:gridCol w:w="111"/>
      </w:tblGrid>
      <w:tr w:rsidR="000F14CA" w:rsidRPr="000F14CA" w:rsidTr="000F14CA">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0F14CA" w:rsidRPr="000F14CA" w:rsidRDefault="000F14CA" w:rsidP="000F14CA">
            <w:pPr>
              <w:widowControl/>
              <w:jc w:val="left"/>
              <w:rPr>
                <w:rFonts w:ascii="Segoe UI" w:eastAsia="宋体" w:hAnsi="Segoe UI" w:cs="Segoe UI"/>
                <w:b/>
                <w:bCs/>
                <w:color w:val="000000"/>
                <w:kern w:val="0"/>
                <w:sz w:val="18"/>
                <w:szCs w:val="18"/>
              </w:rPr>
            </w:pPr>
            <w:r w:rsidRPr="000F14CA">
              <w:rPr>
                <w:rFonts w:ascii="Segoe UI" w:eastAsia="宋体" w:hAnsi="Segoe UI" w:cs="Segoe UI"/>
                <w:b/>
                <w:bCs/>
                <w:color w:val="000000"/>
                <w:kern w:val="0"/>
                <w:sz w:val="18"/>
                <w:szCs w:val="18"/>
              </w:rPr>
              <w:t>59</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xml:space="preserve">Risk that can be attributed to factor(s) that impact a company or industry is </w:t>
            </w:r>
            <w:r w:rsidRPr="000F14CA">
              <w:rPr>
                <w:rFonts w:ascii="Segoe UI" w:eastAsia="宋体" w:hAnsi="Segoe UI" w:cs="Segoe UI"/>
                <w:i/>
                <w:iCs/>
                <w:color w:val="333333"/>
                <w:kern w:val="0"/>
                <w:sz w:val="18"/>
                <w:szCs w:val="18"/>
              </w:rPr>
              <w:t>best</w:t>
            </w:r>
            <w:r w:rsidRPr="000F14CA">
              <w:rPr>
                <w:rFonts w:ascii="Segoe UI" w:eastAsia="宋体" w:hAnsi="Segoe UI" w:cs="Segoe UI"/>
                <w:color w:val="333333"/>
                <w:kern w:val="0"/>
                <w:sz w:val="18"/>
                <w:szCs w:val="18"/>
              </w:rPr>
              <w:t xml:space="preserve"> described as:</w:t>
            </w: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603" type="#_x0000_t75" style="width:20.25pt;height:15.75pt" o:ole="">
                  <v:imagedata r:id="rId7" o:title=""/>
                </v:shape>
                <w:control r:id="rId186" w:name="DefaultOcxName78" w:shapeid="_x0000_i160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A.</w:t>
            </w:r>
            <w:r w:rsidRPr="000F14CA">
              <w:rPr>
                <w:rFonts w:ascii="Segoe UI" w:eastAsia="宋体" w:hAnsi="Segoe UI" w:cs="Segoe UI"/>
                <w:color w:val="000000"/>
                <w:kern w:val="0"/>
                <w:sz w:val="18"/>
                <w:szCs w:val="18"/>
              </w:rPr>
              <w:t xml:space="preserve"> market risk.</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602" type="#_x0000_t75" style="width:20.25pt;height:15.75pt" o:ole="">
                  <v:imagedata r:id="rId9" o:title=""/>
                </v:shape>
                <w:control r:id="rId187" w:name="DefaultOcxName158" w:shapeid="_x0000_i160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B.</w:t>
            </w:r>
            <w:r w:rsidRPr="000F14CA">
              <w:rPr>
                <w:rFonts w:ascii="Segoe UI" w:eastAsia="宋体" w:hAnsi="Segoe UI" w:cs="Segoe UI"/>
                <w:color w:val="000000"/>
                <w:kern w:val="0"/>
                <w:sz w:val="18"/>
                <w:szCs w:val="18"/>
              </w:rPr>
              <w:t xml:space="preserve"> systematic risk.</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601" type="#_x0000_t75" style="width:20.25pt;height:15.75pt" o:ole="">
                  <v:imagedata r:id="rId9" o:title=""/>
                </v:shape>
                <w:control r:id="rId188" w:name="DefaultOcxName258" w:shapeid="_x0000_i160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C.</w:t>
            </w:r>
            <w:r w:rsidRPr="000F14CA">
              <w:rPr>
                <w:rFonts w:ascii="Segoe UI" w:eastAsia="宋体" w:hAnsi="Segoe UI" w:cs="Segoe UI"/>
                <w:color w:val="000000"/>
                <w:kern w:val="0"/>
                <w:sz w:val="18"/>
                <w:szCs w:val="18"/>
              </w:rPr>
              <w:t xml:space="preserve"> unsystematic risk.</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noWrap/>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0" w:type="auto"/>
            <w:gridSpan w:val="5"/>
            <w:shd w:val="clear" w:color="auto" w:fill="FF6347"/>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000080"/>
                <w:kern w:val="0"/>
                <w:sz w:val="16"/>
                <w:szCs w:val="16"/>
              </w:rPr>
              <w:t>Feedback:</w:t>
            </w:r>
            <w:r w:rsidRPr="000F14CA">
              <w:rPr>
                <w:rFonts w:ascii="Segoe UI" w:eastAsia="宋体" w:hAnsi="Segoe UI" w:cs="Segoe UI"/>
                <w:color w:val="333333"/>
                <w:kern w:val="0"/>
                <w:sz w:val="18"/>
                <w:szCs w:val="18"/>
              </w:rPr>
              <w:t xml:space="preserve"> You have answered incorrectly.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Correct answer: </w:t>
            </w:r>
            <w:r w:rsidRPr="000F14CA">
              <w:rPr>
                <w:rFonts w:ascii="Segoe UI" w:eastAsia="宋体" w:hAnsi="Segoe UI" w:cs="Segoe UI"/>
                <w:b/>
                <w:bCs/>
                <w:color w:val="333333"/>
                <w:kern w:val="0"/>
                <w:sz w:val="18"/>
                <w:szCs w:val="18"/>
              </w:rPr>
              <w:t>C</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"Portfolio Risk and Return – Part II," Vijay </w:t>
            </w:r>
            <w:proofErr w:type="spellStart"/>
            <w:r w:rsidRPr="000F14CA">
              <w:rPr>
                <w:rFonts w:ascii="Segoe UI" w:eastAsia="宋体" w:hAnsi="Segoe UI" w:cs="Segoe UI"/>
                <w:color w:val="333333"/>
                <w:kern w:val="0"/>
                <w:sz w:val="18"/>
                <w:szCs w:val="18"/>
              </w:rPr>
              <w:t>Singal</w:t>
            </w:r>
            <w:proofErr w:type="spellEnd"/>
            <w:r w:rsidRPr="000F14CA">
              <w:rPr>
                <w:rFonts w:ascii="Segoe UI" w:eastAsia="宋体" w:hAnsi="Segoe UI" w:cs="Segoe UI"/>
                <w:color w:val="333333"/>
                <w:kern w:val="0"/>
                <w:sz w:val="18"/>
                <w:szCs w:val="18"/>
              </w:rPr>
              <w:br/>
              <w:t>2011 Modular Level I, Vol. 4, pp. 405–407</w:t>
            </w:r>
            <w:r w:rsidRPr="000F14CA">
              <w:rPr>
                <w:rFonts w:ascii="Segoe UI" w:eastAsia="宋体" w:hAnsi="Segoe UI" w:cs="Segoe UI"/>
                <w:color w:val="333333"/>
                <w:kern w:val="0"/>
                <w:sz w:val="18"/>
                <w:szCs w:val="18"/>
              </w:rPr>
              <w:br/>
              <w:t>Study Session 12–53–c</w:t>
            </w:r>
            <w:r w:rsidRPr="000F14CA">
              <w:rPr>
                <w:rFonts w:ascii="Segoe UI" w:eastAsia="宋体" w:hAnsi="Segoe UI" w:cs="Segoe UI"/>
                <w:color w:val="333333"/>
                <w:kern w:val="0"/>
                <w:sz w:val="18"/>
                <w:szCs w:val="18"/>
              </w:rPr>
              <w:br/>
              <w:t>Explain systematic and nonsystematic risk, and why an investor should not expect to receive additional return for bearing nonsystematic risk.</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Risk that is due to company-specific or industry-specific factors is referred to as unsystematic risk. </w:t>
            </w:r>
          </w:p>
        </w:tc>
      </w:tr>
    </w:tbl>
    <w:p w:rsidR="000F14CA" w:rsidRDefault="000F14CA">
      <w:pPr>
        <w:rPr>
          <w:rFonts w:hint="eastAsia"/>
        </w:rPr>
      </w:pPr>
    </w:p>
    <w:tbl>
      <w:tblPr>
        <w:tblW w:w="5000" w:type="pct"/>
        <w:tblCellSpacing w:w="15" w:type="dxa"/>
        <w:tblCellMar>
          <w:top w:w="30" w:type="dxa"/>
          <w:left w:w="30" w:type="dxa"/>
          <w:bottom w:w="30" w:type="dxa"/>
          <w:right w:w="30" w:type="dxa"/>
        </w:tblCellMar>
        <w:tblLook w:val="04A0"/>
      </w:tblPr>
      <w:tblGrid>
        <w:gridCol w:w="420"/>
        <w:gridCol w:w="669"/>
        <w:gridCol w:w="7064"/>
        <w:gridCol w:w="96"/>
        <w:gridCol w:w="96"/>
        <w:gridCol w:w="111"/>
      </w:tblGrid>
      <w:tr w:rsidR="000F14CA" w:rsidRPr="000F14CA" w:rsidTr="000F14CA">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0F14CA" w:rsidRPr="000F14CA" w:rsidRDefault="000F14CA" w:rsidP="000F14CA">
            <w:pPr>
              <w:widowControl/>
              <w:jc w:val="left"/>
              <w:rPr>
                <w:rFonts w:ascii="Segoe UI" w:eastAsia="宋体" w:hAnsi="Segoe UI" w:cs="Segoe UI"/>
                <w:b/>
                <w:bCs/>
                <w:color w:val="000000"/>
                <w:kern w:val="0"/>
                <w:sz w:val="18"/>
                <w:szCs w:val="18"/>
              </w:rPr>
            </w:pPr>
            <w:r w:rsidRPr="000F14CA">
              <w:rPr>
                <w:rFonts w:ascii="Segoe UI" w:eastAsia="宋体" w:hAnsi="Segoe UI" w:cs="Segoe UI"/>
                <w:b/>
                <w:bCs/>
                <w:color w:val="000000"/>
                <w:kern w:val="0"/>
                <w:sz w:val="18"/>
                <w:szCs w:val="18"/>
              </w:rPr>
              <w:t>60</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xml:space="preserve">Which of the following factors is </w:t>
            </w:r>
            <w:r w:rsidRPr="000F14CA">
              <w:rPr>
                <w:rFonts w:ascii="Segoe UI" w:eastAsia="宋体" w:hAnsi="Segoe UI" w:cs="Segoe UI"/>
                <w:i/>
                <w:iCs/>
                <w:color w:val="333333"/>
                <w:kern w:val="0"/>
                <w:sz w:val="18"/>
                <w:szCs w:val="18"/>
              </w:rPr>
              <w:t>least likely</w:t>
            </w:r>
            <w:r w:rsidRPr="000F14CA">
              <w:rPr>
                <w:rFonts w:ascii="Segoe UI" w:eastAsia="宋体" w:hAnsi="Segoe UI" w:cs="Segoe UI"/>
                <w:color w:val="333333"/>
                <w:kern w:val="0"/>
                <w:sz w:val="18"/>
                <w:szCs w:val="18"/>
              </w:rPr>
              <w:t xml:space="preserve"> to impact an individual’s ability to take risk?</w:t>
            </w: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612" type="#_x0000_t75" style="width:20.25pt;height:15.75pt" o:ole="">
                  <v:imagedata r:id="rId7" o:title=""/>
                </v:shape>
                <w:control r:id="rId189" w:name="DefaultOcxName79" w:shapeid="_x0000_i161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A.</w:t>
            </w:r>
            <w:r w:rsidRPr="000F14CA">
              <w:rPr>
                <w:rFonts w:ascii="Segoe UI" w:eastAsia="宋体" w:hAnsi="Segoe UI" w:cs="Segoe UI"/>
                <w:color w:val="000000"/>
                <w:kern w:val="0"/>
                <w:sz w:val="18"/>
                <w:szCs w:val="18"/>
              </w:rPr>
              <w:t xml:space="preserve"> Time horizon</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611" type="#_x0000_t75" style="width:20.25pt;height:15.75pt" o:ole="">
                  <v:imagedata r:id="rId9" o:title=""/>
                </v:shape>
                <w:control r:id="rId190" w:name="DefaultOcxName159" w:shapeid="_x0000_i161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B.</w:t>
            </w:r>
            <w:r w:rsidRPr="000F14CA">
              <w:rPr>
                <w:rFonts w:ascii="Segoe UI" w:eastAsia="宋体" w:hAnsi="Segoe UI" w:cs="Segoe UI"/>
                <w:color w:val="000000"/>
                <w:kern w:val="0"/>
                <w:sz w:val="18"/>
                <w:szCs w:val="18"/>
              </w:rPr>
              <w:t xml:space="preserve"> Personality type</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0F14CA" w:rsidRPr="000F14CA" w:rsidRDefault="000F14CA" w:rsidP="000F14CA">
            <w:pPr>
              <w:widowControl/>
              <w:jc w:val="center"/>
              <w:rPr>
                <w:rFonts w:ascii="Segoe UI" w:eastAsia="宋体" w:hAnsi="Segoe UI" w:cs="Segoe UI"/>
                <w:color w:val="000000"/>
                <w:kern w:val="0"/>
                <w:sz w:val="18"/>
                <w:szCs w:val="18"/>
              </w:rPr>
            </w:pPr>
            <w:r w:rsidRPr="000F14CA">
              <w:rPr>
                <w:rFonts w:ascii="Segoe UI" w:eastAsia="宋体" w:hAnsi="Segoe UI" w:cs="Segoe UI"/>
                <w:color w:val="000000"/>
                <w:kern w:val="0"/>
                <w:sz w:val="18"/>
                <w:szCs w:val="18"/>
              </w:rPr>
              <w:object w:dxaOrig="1440" w:dyaOrig="1440">
                <v:shape id="_x0000_i1610" type="#_x0000_t75" style="width:20.25pt;height:15.75pt" o:ole="">
                  <v:imagedata r:id="rId9" o:title=""/>
                </v:shape>
                <w:control r:id="rId191" w:name="DefaultOcxName259" w:shapeid="_x0000_i161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0F14CA" w:rsidRPr="000F14CA" w:rsidRDefault="000F14CA" w:rsidP="000F14CA">
            <w:pPr>
              <w:widowControl/>
              <w:jc w:val="left"/>
              <w:rPr>
                <w:rFonts w:ascii="Segoe UI" w:eastAsia="宋体" w:hAnsi="Segoe UI" w:cs="Segoe UI"/>
                <w:color w:val="000000"/>
                <w:kern w:val="0"/>
                <w:sz w:val="18"/>
                <w:szCs w:val="18"/>
              </w:rPr>
            </w:pPr>
            <w:r w:rsidRPr="000F14CA">
              <w:rPr>
                <w:rFonts w:ascii="Segoe UI" w:eastAsia="宋体" w:hAnsi="Segoe UI" w:cs="Segoe UI"/>
                <w:b/>
                <w:bCs/>
                <w:color w:val="000000"/>
                <w:kern w:val="0"/>
                <w:sz w:val="18"/>
                <w:szCs w:val="18"/>
              </w:rPr>
              <w:t>C.</w:t>
            </w:r>
            <w:r w:rsidRPr="000F14CA">
              <w:rPr>
                <w:rFonts w:ascii="Segoe UI" w:eastAsia="宋体" w:hAnsi="Segoe UI" w:cs="Segoe UI"/>
                <w:color w:val="000000"/>
                <w:kern w:val="0"/>
                <w:sz w:val="18"/>
                <w:szCs w:val="18"/>
              </w:rPr>
              <w:t xml:space="preserve"> Expected income</w:t>
            </w: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c>
          <w:tcPr>
            <w:tcW w:w="0" w:type="auto"/>
            <w:vAlign w:val="center"/>
            <w:hideMark/>
          </w:tcPr>
          <w:p w:rsidR="000F14CA" w:rsidRPr="000F14CA" w:rsidRDefault="000F14CA" w:rsidP="000F14CA">
            <w:pPr>
              <w:widowControl/>
              <w:jc w:val="left"/>
              <w:rPr>
                <w:rFonts w:ascii="Times New Roman" w:eastAsia="Times New Roman" w:hAnsi="Times New Roman" w:cs="Times New Roman"/>
                <w:kern w:val="0"/>
                <w:sz w:val="20"/>
                <w:szCs w:val="20"/>
              </w:rPr>
            </w:pPr>
          </w:p>
        </w:tc>
      </w:tr>
      <w:tr w:rsidR="000F14CA" w:rsidRPr="000F14CA" w:rsidTr="000F14CA">
        <w:trPr>
          <w:trHeight w:val="525"/>
          <w:tblCellSpacing w:w="15" w:type="dxa"/>
        </w:trPr>
        <w:tc>
          <w:tcPr>
            <w:tcW w:w="375" w:type="dxa"/>
            <w:noWrap/>
            <w:vAlign w:val="center"/>
            <w:hideMark/>
          </w:tcPr>
          <w:p w:rsidR="000F14CA" w:rsidRPr="000F14CA" w:rsidRDefault="000F14CA" w:rsidP="000F14CA">
            <w:pPr>
              <w:widowControl/>
              <w:jc w:val="center"/>
              <w:rPr>
                <w:rFonts w:ascii="Segoe UI" w:eastAsia="宋体" w:hAnsi="Segoe UI" w:cs="Segoe UI"/>
                <w:color w:val="333333"/>
                <w:kern w:val="0"/>
                <w:sz w:val="18"/>
                <w:szCs w:val="18"/>
              </w:rPr>
            </w:pPr>
            <w:r w:rsidRPr="000F14CA">
              <w:rPr>
                <w:rFonts w:ascii="Segoe UI" w:eastAsia="宋体" w:hAnsi="Segoe UI" w:cs="Segoe UI"/>
                <w:color w:val="333333"/>
                <w:kern w:val="0"/>
                <w:sz w:val="18"/>
                <w:szCs w:val="18"/>
              </w:rPr>
              <w:t> </w:t>
            </w:r>
          </w:p>
        </w:tc>
        <w:tc>
          <w:tcPr>
            <w:tcW w:w="0" w:type="auto"/>
            <w:gridSpan w:val="5"/>
            <w:shd w:val="clear" w:color="auto" w:fill="FF6347"/>
            <w:vAlign w:val="center"/>
            <w:hideMark/>
          </w:tcPr>
          <w:p w:rsidR="000F14CA" w:rsidRPr="000F14CA" w:rsidRDefault="000F14CA" w:rsidP="000F14CA">
            <w:pPr>
              <w:widowControl/>
              <w:jc w:val="left"/>
              <w:rPr>
                <w:rFonts w:ascii="Segoe UI" w:eastAsia="宋体" w:hAnsi="Segoe UI" w:cs="Segoe UI"/>
                <w:color w:val="333333"/>
                <w:kern w:val="0"/>
                <w:sz w:val="18"/>
                <w:szCs w:val="18"/>
              </w:rPr>
            </w:pPr>
            <w:r w:rsidRPr="000F14CA">
              <w:rPr>
                <w:rFonts w:ascii="Segoe UI" w:eastAsia="宋体" w:hAnsi="Segoe UI" w:cs="Segoe UI"/>
                <w:b/>
                <w:bCs/>
                <w:color w:val="000080"/>
                <w:kern w:val="0"/>
                <w:sz w:val="16"/>
                <w:szCs w:val="16"/>
              </w:rPr>
              <w:t>Feedback:</w:t>
            </w:r>
            <w:r w:rsidRPr="000F14CA">
              <w:rPr>
                <w:rFonts w:ascii="Segoe UI" w:eastAsia="宋体" w:hAnsi="Segoe UI" w:cs="Segoe UI"/>
                <w:color w:val="333333"/>
                <w:kern w:val="0"/>
                <w:sz w:val="18"/>
                <w:szCs w:val="18"/>
              </w:rPr>
              <w:t xml:space="preserve"> You have answered incorrectly.</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Correct answer: </w:t>
            </w:r>
            <w:r w:rsidRPr="000F14CA">
              <w:rPr>
                <w:rFonts w:ascii="Segoe UI" w:eastAsia="宋体" w:hAnsi="Segoe UI" w:cs="Segoe UI"/>
                <w:b/>
                <w:bCs/>
                <w:color w:val="333333"/>
                <w:kern w:val="0"/>
                <w:sz w:val="18"/>
                <w:szCs w:val="18"/>
              </w:rPr>
              <w:t>B</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 xml:space="preserve">"Basics of Portfolio Management and Construction," Alistair Byrne and Frank E. </w:t>
            </w:r>
            <w:proofErr w:type="spellStart"/>
            <w:r w:rsidRPr="000F14CA">
              <w:rPr>
                <w:rFonts w:ascii="Segoe UI" w:eastAsia="宋体" w:hAnsi="Segoe UI" w:cs="Segoe UI"/>
                <w:color w:val="333333"/>
                <w:kern w:val="0"/>
                <w:sz w:val="18"/>
                <w:szCs w:val="18"/>
              </w:rPr>
              <w:t>Smuddle</w:t>
            </w:r>
            <w:proofErr w:type="spellEnd"/>
            <w:r w:rsidRPr="000F14CA">
              <w:rPr>
                <w:rFonts w:ascii="Segoe UI" w:eastAsia="宋体" w:hAnsi="Segoe UI" w:cs="Segoe UI"/>
                <w:color w:val="333333"/>
                <w:kern w:val="0"/>
                <w:sz w:val="18"/>
                <w:szCs w:val="18"/>
              </w:rPr>
              <w:br/>
              <w:t>2011 Modular Level I, Vol. 4, pp. 453–454</w:t>
            </w:r>
            <w:r w:rsidRPr="000F14CA">
              <w:rPr>
                <w:rFonts w:ascii="Segoe UI" w:eastAsia="宋体" w:hAnsi="Segoe UI" w:cs="Segoe UI"/>
                <w:color w:val="333333"/>
                <w:kern w:val="0"/>
                <w:sz w:val="18"/>
                <w:szCs w:val="18"/>
              </w:rPr>
              <w:br/>
              <w:t>Study Session 12–54–d</w:t>
            </w:r>
            <w:r w:rsidRPr="000F14CA">
              <w:rPr>
                <w:rFonts w:ascii="Segoe UI" w:eastAsia="宋体" w:hAnsi="Segoe UI" w:cs="Segoe UI"/>
                <w:color w:val="333333"/>
                <w:kern w:val="0"/>
                <w:sz w:val="18"/>
                <w:szCs w:val="18"/>
              </w:rPr>
              <w:br/>
              <w:t xml:space="preserve">Distinguish between the willingness and the ability (capacity) to take risk in analyzing an investor's </w:t>
            </w:r>
            <w:r w:rsidRPr="000F14CA">
              <w:rPr>
                <w:rFonts w:ascii="Segoe UI" w:eastAsia="宋体" w:hAnsi="Segoe UI" w:cs="Segoe UI"/>
                <w:color w:val="333333"/>
                <w:kern w:val="0"/>
                <w:sz w:val="18"/>
                <w:szCs w:val="18"/>
              </w:rPr>
              <w:lastRenderedPageBreak/>
              <w:t>financial risk tolerance.</w:t>
            </w:r>
            <w:r w:rsidRPr="000F14CA">
              <w:rPr>
                <w:rFonts w:ascii="Segoe UI" w:eastAsia="宋体" w:hAnsi="Segoe UI" w:cs="Segoe UI"/>
                <w:color w:val="333333"/>
                <w:kern w:val="0"/>
                <w:sz w:val="18"/>
                <w:szCs w:val="18"/>
              </w:rPr>
              <w:br/>
            </w:r>
            <w:r w:rsidRPr="000F14CA">
              <w:rPr>
                <w:rFonts w:ascii="Segoe UI" w:eastAsia="宋体" w:hAnsi="Segoe UI" w:cs="Segoe UI"/>
                <w:color w:val="333333"/>
                <w:kern w:val="0"/>
                <w:sz w:val="18"/>
                <w:szCs w:val="18"/>
              </w:rPr>
              <w:br/>
              <w:t>An individual's ability to take risk is impacted by factors such as time horizon and expected income. Personality type is most likely to impact an individual's willingness to take risk.  </w:t>
            </w:r>
          </w:p>
        </w:tc>
      </w:tr>
    </w:tbl>
    <w:p w:rsidR="000F14CA" w:rsidRDefault="000F14CA">
      <w:pPr>
        <w:rPr>
          <w:rFonts w:hint="eastAsia"/>
        </w:rPr>
      </w:pPr>
    </w:p>
    <w:p w:rsidR="000F14CA" w:rsidRPr="000F14CA" w:rsidRDefault="000F14CA">
      <w:pPr>
        <w:rPr>
          <w:rFonts w:hint="eastAsia"/>
        </w:rPr>
      </w:pPr>
    </w:p>
    <w:sectPr w:rsidR="000F14CA" w:rsidRPr="000F14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CA7" w:rsidRDefault="00984CA7" w:rsidP="00B21C6C">
      <w:r>
        <w:separator/>
      </w:r>
    </w:p>
  </w:endnote>
  <w:endnote w:type="continuationSeparator" w:id="1">
    <w:p w:rsidR="00984CA7" w:rsidRDefault="00984CA7" w:rsidP="00B21C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CA7" w:rsidRDefault="00984CA7" w:rsidP="00B21C6C">
      <w:r>
        <w:separator/>
      </w:r>
    </w:p>
  </w:footnote>
  <w:footnote w:type="continuationSeparator" w:id="1">
    <w:p w:rsidR="00984CA7" w:rsidRDefault="00984CA7" w:rsidP="00B21C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840CB"/>
    <w:multiLevelType w:val="multilevel"/>
    <w:tmpl w:val="5C30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C6C"/>
    <w:rsid w:val="000F14CA"/>
    <w:rsid w:val="003554DD"/>
    <w:rsid w:val="003B106F"/>
    <w:rsid w:val="008645A1"/>
    <w:rsid w:val="00984CA7"/>
    <w:rsid w:val="009E2EA0"/>
    <w:rsid w:val="00B21C6C"/>
    <w:rsid w:val="00B5744D"/>
    <w:rsid w:val="00BA3E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1C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1C6C"/>
    <w:rPr>
      <w:sz w:val="18"/>
      <w:szCs w:val="18"/>
    </w:rPr>
  </w:style>
  <w:style w:type="paragraph" w:styleId="a4">
    <w:name w:val="footer"/>
    <w:basedOn w:val="a"/>
    <w:link w:val="Char0"/>
    <w:uiPriority w:val="99"/>
    <w:semiHidden/>
    <w:unhideWhenUsed/>
    <w:rsid w:val="00B21C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1C6C"/>
    <w:rPr>
      <w:sz w:val="18"/>
      <w:szCs w:val="18"/>
    </w:rPr>
  </w:style>
  <w:style w:type="paragraph" w:styleId="a5">
    <w:name w:val="Normal (Web)"/>
    <w:basedOn w:val="a"/>
    <w:uiPriority w:val="99"/>
    <w:unhideWhenUsed/>
    <w:rsid w:val="00984CA7"/>
    <w:pPr>
      <w:widowControl/>
      <w:spacing w:before="225" w:after="225" w:line="300" w:lineRule="auto"/>
      <w:ind w:left="225" w:right="225"/>
      <w:jc w:val="left"/>
    </w:pPr>
    <w:rPr>
      <w:rFonts w:ascii="宋体" w:eastAsia="宋体" w:hAnsi="宋体" w:cs="宋体"/>
      <w:kern w:val="0"/>
      <w:sz w:val="24"/>
      <w:szCs w:val="24"/>
    </w:rPr>
  </w:style>
  <w:style w:type="paragraph" w:styleId="a6">
    <w:name w:val="Balloon Text"/>
    <w:basedOn w:val="a"/>
    <w:link w:val="Char1"/>
    <w:uiPriority w:val="99"/>
    <w:semiHidden/>
    <w:unhideWhenUsed/>
    <w:rsid w:val="000F14CA"/>
    <w:rPr>
      <w:sz w:val="18"/>
      <w:szCs w:val="18"/>
    </w:rPr>
  </w:style>
  <w:style w:type="character" w:customStyle="1" w:styleId="Char1">
    <w:name w:val="批注框文本 Char"/>
    <w:basedOn w:val="a0"/>
    <w:link w:val="a6"/>
    <w:uiPriority w:val="99"/>
    <w:semiHidden/>
    <w:rsid w:val="000F14CA"/>
    <w:rPr>
      <w:sz w:val="18"/>
      <w:szCs w:val="18"/>
    </w:rPr>
  </w:style>
</w:styles>
</file>

<file path=word/webSettings.xml><?xml version="1.0" encoding="utf-8"?>
<w:webSettings xmlns:r="http://schemas.openxmlformats.org/officeDocument/2006/relationships" xmlns:w="http://schemas.openxmlformats.org/wordprocessingml/2006/main">
  <w:divs>
    <w:div w:id="6644486">
      <w:bodyDiv w:val="1"/>
      <w:marLeft w:val="0"/>
      <w:marRight w:val="0"/>
      <w:marTop w:val="0"/>
      <w:marBottom w:val="0"/>
      <w:divBdr>
        <w:top w:val="none" w:sz="0" w:space="0" w:color="auto"/>
        <w:left w:val="none" w:sz="0" w:space="0" w:color="auto"/>
        <w:bottom w:val="none" w:sz="0" w:space="0" w:color="auto"/>
        <w:right w:val="none" w:sz="0" w:space="0" w:color="auto"/>
      </w:divBdr>
    </w:div>
    <w:div w:id="53088875">
      <w:bodyDiv w:val="1"/>
      <w:marLeft w:val="0"/>
      <w:marRight w:val="0"/>
      <w:marTop w:val="0"/>
      <w:marBottom w:val="0"/>
      <w:divBdr>
        <w:top w:val="none" w:sz="0" w:space="0" w:color="auto"/>
        <w:left w:val="none" w:sz="0" w:space="0" w:color="auto"/>
        <w:bottom w:val="none" w:sz="0" w:space="0" w:color="auto"/>
        <w:right w:val="none" w:sz="0" w:space="0" w:color="auto"/>
      </w:divBdr>
    </w:div>
    <w:div w:id="76632211">
      <w:bodyDiv w:val="1"/>
      <w:marLeft w:val="0"/>
      <w:marRight w:val="0"/>
      <w:marTop w:val="0"/>
      <w:marBottom w:val="0"/>
      <w:divBdr>
        <w:top w:val="none" w:sz="0" w:space="0" w:color="auto"/>
        <w:left w:val="none" w:sz="0" w:space="0" w:color="auto"/>
        <w:bottom w:val="none" w:sz="0" w:space="0" w:color="auto"/>
        <w:right w:val="none" w:sz="0" w:space="0" w:color="auto"/>
      </w:divBdr>
    </w:div>
    <w:div w:id="101069229">
      <w:bodyDiv w:val="1"/>
      <w:marLeft w:val="0"/>
      <w:marRight w:val="0"/>
      <w:marTop w:val="0"/>
      <w:marBottom w:val="0"/>
      <w:divBdr>
        <w:top w:val="none" w:sz="0" w:space="0" w:color="auto"/>
        <w:left w:val="none" w:sz="0" w:space="0" w:color="auto"/>
        <w:bottom w:val="none" w:sz="0" w:space="0" w:color="auto"/>
        <w:right w:val="none" w:sz="0" w:space="0" w:color="auto"/>
      </w:divBdr>
    </w:div>
    <w:div w:id="101649865">
      <w:bodyDiv w:val="1"/>
      <w:marLeft w:val="0"/>
      <w:marRight w:val="0"/>
      <w:marTop w:val="0"/>
      <w:marBottom w:val="0"/>
      <w:divBdr>
        <w:top w:val="none" w:sz="0" w:space="0" w:color="auto"/>
        <w:left w:val="none" w:sz="0" w:space="0" w:color="auto"/>
        <w:bottom w:val="none" w:sz="0" w:space="0" w:color="auto"/>
        <w:right w:val="none" w:sz="0" w:space="0" w:color="auto"/>
      </w:divBdr>
    </w:div>
    <w:div w:id="109708316">
      <w:bodyDiv w:val="1"/>
      <w:marLeft w:val="0"/>
      <w:marRight w:val="0"/>
      <w:marTop w:val="0"/>
      <w:marBottom w:val="0"/>
      <w:divBdr>
        <w:top w:val="none" w:sz="0" w:space="0" w:color="auto"/>
        <w:left w:val="none" w:sz="0" w:space="0" w:color="auto"/>
        <w:bottom w:val="none" w:sz="0" w:space="0" w:color="auto"/>
        <w:right w:val="none" w:sz="0" w:space="0" w:color="auto"/>
      </w:divBdr>
    </w:div>
    <w:div w:id="138615251">
      <w:bodyDiv w:val="1"/>
      <w:marLeft w:val="0"/>
      <w:marRight w:val="0"/>
      <w:marTop w:val="0"/>
      <w:marBottom w:val="0"/>
      <w:divBdr>
        <w:top w:val="none" w:sz="0" w:space="0" w:color="auto"/>
        <w:left w:val="none" w:sz="0" w:space="0" w:color="auto"/>
        <w:bottom w:val="none" w:sz="0" w:space="0" w:color="auto"/>
        <w:right w:val="none" w:sz="0" w:space="0" w:color="auto"/>
      </w:divBdr>
    </w:div>
    <w:div w:id="141040511">
      <w:bodyDiv w:val="1"/>
      <w:marLeft w:val="0"/>
      <w:marRight w:val="0"/>
      <w:marTop w:val="0"/>
      <w:marBottom w:val="0"/>
      <w:divBdr>
        <w:top w:val="none" w:sz="0" w:space="0" w:color="auto"/>
        <w:left w:val="none" w:sz="0" w:space="0" w:color="auto"/>
        <w:bottom w:val="none" w:sz="0" w:space="0" w:color="auto"/>
        <w:right w:val="none" w:sz="0" w:space="0" w:color="auto"/>
      </w:divBdr>
    </w:div>
    <w:div w:id="158353238">
      <w:bodyDiv w:val="1"/>
      <w:marLeft w:val="0"/>
      <w:marRight w:val="0"/>
      <w:marTop w:val="0"/>
      <w:marBottom w:val="0"/>
      <w:divBdr>
        <w:top w:val="none" w:sz="0" w:space="0" w:color="auto"/>
        <w:left w:val="none" w:sz="0" w:space="0" w:color="auto"/>
        <w:bottom w:val="none" w:sz="0" w:space="0" w:color="auto"/>
        <w:right w:val="none" w:sz="0" w:space="0" w:color="auto"/>
      </w:divBdr>
    </w:div>
    <w:div w:id="175461777">
      <w:bodyDiv w:val="1"/>
      <w:marLeft w:val="0"/>
      <w:marRight w:val="0"/>
      <w:marTop w:val="0"/>
      <w:marBottom w:val="0"/>
      <w:divBdr>
        <w:top w:val="none" w:sz="0" w:space="0" w:color="auto"/>
        <w:left w:val="none" w:sz="0" w:space="0" w:color="auto"/>
        <w:bottom w:val="none" w:sz="0" w:space="0" w:color="auto"/>
        <w:right w:val="none" w:sz="0" w:space="0" w:color="auto"/>
      </w:divBdr>
    </w:div>
    <w:div w:id="241649853">
      <w:bodyDiv w:val="1"/>
      <w:marLeft w:val="0"/>
      <w:marRight w:val="0"/>
      <w:marTop w:val="0"/>
      <w:marBottom w:val="0"/>
      <w:divBdr>
        <w:top w:val="none" w:sz="0" w:space="0" w:color="auto"/>
        <w:left w:val="none" w:sz="0" w:space="0" w:color="auto"/>
        <w:bottom w:val="none" w:sz="0" w:space="0" w:color="auto"/>
        <w:right w:val="none" w:sz="0" w:space="0" w:color="auto"/>
      </w:divBdr>
    </w:div>
    <w:div w:id="305092282">
      <w:bodyDiv w:val="1"/>
      <w:marLeft w:val="0"/>
      <w:marRight w:val="0"/>
      <w:marTop w:val="0"/>
      <w:marBottom w:val="0"/>
      <w:divBdr>
        <w:top w:val="none" w:sz="0" w:space="0" w:color="auto"/>
        <w:left w:val="none" w:sz="0" w:space="0" w:color="auto"/>
        <w:bottom w:val="none" w:sz="0" w:space="0" w:color="auto"/>
        <w:right w:val="none" w:sz="0" w:space="0" w:color="auto"/>
      </w:divBdr>
    </w:div>
    <w:div w:id="344943755">
      <w:bodyDiv w:val="1"/>
      <w:marLeft w:val="0"/>
      <w:marRight w:val="0"/>
      <w:marTop w:val="0"/>
      <w:marBottom w:val="0"/>
      <w:divBdr>
        <w:top w:val="none" w:sz="0" w:space="0" w:color="auto"/>
        <w:left w:val="none" w:sz="0" w:space="0" w:color="auto"/>
        <w:bottom w:val="none" w:sz="0" w:space="0" w:color="auto"/>
        <w:right w:val="none" w:sz="0" w:space="0" w:color="auto"/>
      </w:divBdr>
    </w:div>
    <w:div w:id="399407768">
      <w:bodyDiv w:val="1"/>
      <w:marLeft w:val="0"/>
      <w:marRight w:val="0"/>
      <w:marTop w:val="0"/>
      <w:marBottom w:val="0"/>
      <w:divBdr>
        <w:top w:val="none" w:sz="0" w:space="0" w:color="auto"/>
        <w:left w:val="none" w:sz="0" w:space="0" w:color="auto"/>
        <w:bottom w:val="none" w:sz="0" w:space="0" w:color="auto"/>
        <w:right w:val="none" w:sz="0" w:space="0" w:color="auto"/>
      </w:divBdr>
    </w:div>
    <w:div w:id="445736208">
      <w:bodyDiv w:val="1"/>
      <w:marLeft w:val="0"/>
      <w:marRight w:val="0"/>
      <w:marTop w:val="0"/>
      <w:marBottom w:val="0"/>
      <w:divBdr>
        <w:top w:val="none" w:sz="0" w:space="0" w:color="auto"/>
        <w:left w:val="none" w:sz="0" w:space="0" w:color="auto"/>
        <w:bottom w:val="none" w:sz="0" w:space="0" w:color="auto"/>
        <w:right w:val="none" w:sz="0" w:space="0" w:color="auto"/>
      </w:divBdr>
    </w:div>
    <w:div w:id="521748433">
      <w:bodyDiv w:val="1"/>
      <w:marLeft w:val="0"/>
      <w:marRight w:val="0"/>
      <w:marTop w:val="0"/>
      <w:marBottom w:val="0"/>
      <w:divBdr>
        <w:top w:val="none" w:sz="0" w:space="0" w:color="auto"/>
        <w:left w:val="none" w:sz="0" w:space="0" w:color="auto"/>
        <w:bottom w:val="none" w:sz="0" w:space="0" w:color="auto"/>
        <w:right w:val="none" w:sz="0" w:space="0" w:color="auto"/>
      </w:divBdr>
    </w:div>
    <w:div w:id="565341207">
      <w:bodyDiv w:val="1"/>
      <w:marLeft w:val="0"/>
      <w:marRight w:val="0"/>
      <w:marTop w:val="0"/>
      <w:marBottom w:val="0"/>
      <w:divBdr>
        <w:top w:val="none" w:sz="0" w:space="0" w:color="auto"/>
        <w:left w:val="none" w:sz="0" w:space="0" w:color="auto"/>
        <w:bottom w:val="none" w:sz="0" w:space="0" w:color="auto"/>
        <w:right w:val="none" w:sz="0" w:space="0" w:color="auto"/>
      </w:divBdr>
    </w:div>
    <w:div w:id="623000046">
      <w:bodyDiv w:val="1"/>
      <w:marLeft w:val="0"/>
      <w:marRight w:val="0"/>
      <w:marTop w:val="0"/>
      <w:marBottom w:val="0"/>
      <w:divBdr>
        <w:top w:val="none" w:sz="0" w:space="0" w:color="auto"/>
        <w:left w:val="none" w:sz="0" w:space="0" w:color="auto"/>
        <w:bottom w:val="none" w:sz="0" w:space="0" w:color="auto"/>
        <w:right w:val="none" w:sz="0" w:space="0" w:color="auto"/>
      </w:divBdr>
    </w:div>
    <w:div w:id="661783839">
      <w:bodyDiv w:val="1"/>
      <w:marLeft w:val="0"/>
      <w:marRight w:val="0"/>
      <w:marTop w:val="0"/>
      <w:marBottom w:val="0"/>
      <w:divBdr>
        <w:top w:val="none" w:sz="0" w:space="0" w:color="auto"/>
        <w:left w:val="none" w:sz="0" w:space="0" w:color="auto"/>
        <w:bottom w:val="none" w:sz="0" w:space="0" w:color="auto"/>
        <w:right w:val="none" w:sz="0" w:space="0" w:color="auto"/>
      </w:divBdr>
    </w:div>
    <w:div w:id="673387313">
      <w:bodyDiv w:val="1"/>
      <w:marLeft w:val="0"/>
      <w:marRight w:val="0"/>
      <w:marTop w:val="0"/>
      <w:marBottom w:val="0"/>
      <w:divBdr>
        <w:top w:val="none" w:sz="0" w:space="0" w:color="auto"/>
        <w:left w:val="none" w:sz="0" w:space="0" w:color="auto"/>
        <w:bottom w:val="none" w:sz="0" w:space="0" w:color="auto"/>
        <w:right w:val="none" w:sz="0" w:space="0" w:color="auto"/>
      </w:divBdr>
    </w:div>
    <w:div w:id="734856151">
      <w:bodyDiv w:val="1"/>
      <w:marLeft w:val="0"/>
      <w:marRight w:val="0"/>
      <w:marTop w:val="0"/>
      <w:marBottom w:val="0"/>
      <w:divBdr>
        <w:top w:val="none" w:sz="0" w:space="0" w:color="auto"/>
        <w:left w:val="none" w:sz="0" w:space="0" w:color="auto"/>
        <w:bottom w:val="none" w:sz="0" w:space="0" w:color="auto"/>
        <w:right w:val="none" w:sz="0" w:space="0" w:color="auto"/>
      </w:divBdr>
    </w:div>
    <w:div w:id="754865807">
      <w:bodyDiv w:val="1"/>
      <w:marLeft w:val="0"/>
      <w:marRight w:val="0"/>
      <w:marTop w:val="0"/>
      <w:marBottom w:val="0"/>
      <w:divBdr>
        <w:top w:val="none" w:sz="0" w:space="0" w:color="auto"/>
        <w:left w:val="none" w:sz="0" w:space="0" w:color="auto"/>
        <w:bottom w:val="none" w:sz="0" w:space="0" w:color="auto"/>
        <w:right w:val="none" w:sz="0" w:space="0" w:color="auto"/>
      </w:divBdr>
    </w:div>
    <w:div w:id="801733631">
      <w:bodyDiv w:val="1"/>
      <w:marLeft w:val="0"/>
      <w:marRight w:val="0"/>
      <w:marTop w:val="0"/>
      <w:marBottom w:val="0"/>
      <w:divBdr>
        <w:top w:val="none" w:sz="0" w:space="0" w:color="auto"/>
        <w:left w:val="none" w:sz="0" w:space="0" w:color="auto"/>
        <w:bottom w:val="none" w:sz="0" w:space="0" w:color="auto"/>
        <w:right w:val="none" w:sz="0" w:space="0" w:color="auto"/>
      </w:divBdr>
    </w:div>
    <w:div w:id="812254310">
      <w:bodyDiv w:val="1"/>
      <w:marLeft w:val="0"/>
      <w:marRight w:val="0"/>
      <w:marTop w:val="0"/>
      <w:marBottom w:val="0"/>
      <w:divBdr>
        <w:top w:val="none" w:sz="0" w:space="0" w:color="auto"/>
        <w:left w:val="none" w:sz="0" w:space="0" w:color="auto"/>
        <w:bottom w:val="none" w:sz="0" w:space="0" w:color="auto"/>
        <w:right w:val="none" w:sz="0" w:space="0" w:color="auto"/>
      </w:divBdr>
    </w:div>
    <w:div w:id="864363057">
      <w:bodyDiv w:val="1"/>
      <w:marLeft w:val="0"/>
      <w:marRight w:val="0"/>
      <w:marTop w:val="0"/>
      <w:marBottom w:val="0"/>
      <w:divBdr>
        <w:top w:val="none" w:sz="0" w:space="0" w:color="auto"/>
        <w:left w:val="none" w:sz="0" w:space="0" w:color="auto"/>
        <w:bottom w:val="none" w:sz="0" w:space="0" w:color="auto"/>
        <w:right w:val="none" w:sz="0" w:space="0" w:color="auto"/>
      </w:divBdr>
    </w:div>
    <w:div w:id="874926810">
      <w:bodyDiv w:val="1"/>
      <w:marLeft w:val="0"/>
      <w:marRight w:val="0"/>
      <w:marTop w:val="0"/>
      <w:marBottom w:val="0"/>
      <w:divBdr>
        <w:top w:val="none" w:sz="0" w:space="0" w:color="auto"/>
        <w:left w:val="none" w:sz="0" w:space="0" w:color="auto"/>
        <w:bottom w:val="none" w:sz="0" w:space="0" w:color="auto"/>
        <w:right w:val="none" w:sz="0" w:space="0" w:color="auto"/>
      </w:divBdr>
    </w:div>
    <w:div w:id="910232059">
      <w:bodyDiv w:val="1"/>
      <w:marLeft w:val="0"/>
      <w:marRight w:val="0"/>
      <w:marTop w:val="0"/>
      <w:marBottom w:val="0"/>
      <w:divBdr>
        <w:top w:val="none" w:sz="0" w:space="0" w:color="auto"/>
        <w:left w:val="none" w:sz="0" w:space="0" w:color="auto"/>
        <w:bottom w:val="none" w:sz="0" w:space="0" w:color="auto"/>
        <w:right w:val="none" w:sz="0" w:space="0" w:color="auto"/>
      </w:divBdr>
    </w:div>
    <w:div w:id="940648216">
      <w:bodyDiv w:val="1"/>
      <w:marLeft w:val="0"/>
      <w:marRight w:val="0"/>
      <w:marTop w:val="0"/>
      <w:marBottom w:val="0"/>
      <w:divBdr>
        <w:top w:val="none" w:sz="0" w:space="0" w:color="auto"/>
        <w:left w:val="none" w:sz="0" w:space="0" w:color="auto"/>
        <w:bottom w:val="none" w:sz="0" w:space="0" w:color="auto"/>
        <w:right w:val="none" w:sz="0" w:space="0" w:color="auto"/>
      </w:divBdr>
    </w:div>
    <w:div w:id="958071365">
      <w:bodyDiv w:val="1"/>
      <w:marLeft w:val="0"/>
      <w:marRight w:val="0"/>
      <w:marTop w:val="0"/>
      <w:marBottom w:val="0"/>
      <w:divBdr>
        <w:top w:val="none" w:sz="0" w:space="0" w:color="auto"/>
        <w:left w:val="none" w:sz="0" w:space="0" w:color="auto"/>
        <w:bottom w:val="none" w:sz="0" w:space="0" w:color="auto"/>
        <w:right w:val="none" w:sz="0" w:space="0" w:color="auto"/>
      </w:divBdr>
    </w:div>
    <w:div w:id="1019889056">
      <w:bodyDiv w:val="1"/>
      <w:marLeft w:val="0"/>
      <w:marRight w:val="0"/>
      <w:marTop w:val="0"/>
      <w:marBottom w:val="0"/>
      <w:divBdr>
        <w:top w:val="none" w:sz="0" w:space="0" w:color="auto"/>
        <w:left w:val="none" w:sz="0" w:space="0" w:color="auto"/>
        <w:bottom w:val="none" w:sz="0" w:space="0" w:color="auto"/>
        <w:right w:val="none" w:sz="0" w:space="0" w:color="auto"/>
      </w:divBdr>
    </w:div>
    <w:div w:id="1044791191">
      <w:bodyDiv w:val="1"/>
      <w:marLeft w:val="0"/>
      <w:marRight w:val="0"/>
      <w:marTop w:val="0"/>
      <w:marBottom w:val="0"/>
      <w:divBdr>
        <w:top w:val="none" w:sz="0" w:space="0" w:color="auto"/>
        <w:left w:val="none" w:sz="0" w:space="0" w:color="auto"/>
        <w:bottom w:val="none" w:sz="0" w:space="0" w:color="auto"/>
        <w:right w:val="none" w:sz="0" w:space="0" w:color="auto"/>
      </w:divBdr>
    </w:div>
    <w:div w:id="1109928373">
      <w:bodyDiv w:val="1"/>
      <w:marLeft w:val="0"/>
      <w:marRight w:val="0"/>
      <w:marTop w:val="0"/>
      <w:marBottom w:val="0"/>
      <w:divBdr>
        <w:top w:val="none" w:sz="0" w:space="0" w:color="auto"/>
        <w:left w:val="none" w:sz="0" w:space="0" w:color="auto"/>
        <w:bottom w:val="none" w:sz="0" w:space="0" w:color="auto"/>
        <w:right w:val="none" w:sz="0" w:space="0" w:color="auto"/>
      </w:divBdr>
    </w:div>
    <w:div w:id="1112477112">
      <w:bodyDiv w:val="1"/>
      <w:marLeft w:val="0"/>
      <w:marRight w:val="0"/>
      <w:marTop w:val="0"/>
      <w:marBottom w:val="0"/>
      <w:divBdr>
        <w:top w:val="none" w:sz="0" w:space="0" w:color="auto"/>
        <w:left w:val="none" w:sz="0" w:space="0" w:color="auto"/>
        <w:bottom w:val="none" w:sz="0" w:space="0" w:color="auto"/>
        <w:right w:val="none" w:sz="0" w:space="0" w:color="auto"/>
      </w:divBdr>
    </w:div>
    <w:div w:id="1162115868">
      <w:bodyDiv w:val="1"/>
      <w:marLeft w:val="0"/>
      <w:marRight w:val="0"/>
      <w:marTop w:val="0"/>
      <w:marBottom w:val="0"/>
      <w:divBdr>
        <w:top w:val="none" w:sz="0" w:space="0" w:color="auto"/>
        <w:left w:val="none" w:sz="0" w:space="0" w:color="auto"/>
        <w:bottom w:val="none" w:sz="0" w:space="0" w:color="auto"/>
        <w:right w:val="none" w:sz="0" w:space="0" w:color="auto"/>
      </w:divBdr>
    </w:div>
    <w:div w:id="1239092333">
      <w:bodyDiv w:val="1"/>
      <w:marLeft w:val="0"/>
      <w:marRight w:val="0"/>
      <w:marTop w:val="0"/>
      <w:marBottom w:val="0"/>
      <w:divBdr>
        <w:top w:val="none" w:sz="0" w:space="0" w:color="auto"/>
        <w:left w:val="none" w:sz="0" w:space="0" w:color="auto"/>
        <w:bottom w:val="none" w:sz="0" w:space="0" w:color="auto"/>
        <w:right w:val="none" w:sz="0" w:space="0" w:color="auto"/>
      </w:divBdr>
    </w:div>
    <w:div w:id="1281376522">
      <w:bodyDiv w:val="1"/>
      <w:marLeft w:val="0"/>
      <w:marRight w:val="0"/>
      <w:marTop w:val="0"/>
      <w:marBottom w:val="0"/>
      <w:divBdr>
        <w:top w:val="none" w:sz="0" w:space="0" w:color="auto"/>
        <w:left w:val="none" w:sz="0" w:space="0" w:color="auto"/>
        <w:bottom w:val="none" w:sz="0" w:space="0" w:color="auto"/>
        <w:right w:val="none" w:sz="0" w:space="0" w:color="auto"/>
      </w:divBdr>
    </w:div>
    <w:div w:id="1296259023">
      <w:bodyDiv w:val="1"/>
      <w:marLeft w:val="0"/>
      <w:marRight w:val="0"/>
      <w:marTop w:val="0"/>
      <w:marBottom w:val="0"/>
      <w:divBdr>
        <w:top w:val="none" w:sz="0" w:space="0" w:color="auto"/>
        <w:left w:val="none" w:sz="0" w:space="0" w:color="auto"/>
        <w:bottom w:val="none" w:sz="0" w:space="0" w:color="auto"/>
        <w:right w:val="none" w:sz="0" w:space="0" w:color="auto"/>
      </w:divBdr>
    </w:div>
    <w:div w:id="1305504877">
      <w:bodyDiv w:val="1"/>
      <w:marLeft w:val="0"/>
      <w:marRight w:val="0"/>
      <w:marTop w:val="0"/>
      <w:marBottom w:val="0"/>
      <w:divBdr>
        <w:top w:val="none" w:sz="0" w:space="0" w:color="auto"/>
        <w:left w:val="none" w:sz="0" w:space="0" w:color="auto"/>
        <w:bottom w:val="none" w:sz="0" w:space="0" w:color="auto"/>
        <w:right w:val="none" w:sz="0" w:space="0" w:color="auto"/>
      </w:divBdr>
    </w:div>
    <w:div w:id="1333682040">
      <w:bodyDiv w:val="1"/>
      <w:marLeft w:val="0"/>
      <w:marRight w:val="0"/>
      <w:marTop w:val="0"/>
      <w:marBottom w:val="0"/>
      <w:divBdr>
        <w:top w:val="none" w:sz="0" w:space="0" w:color="auto"/>
        <w:left w:val="none" w:sz="0" w:space="0" w:color="auto"/>
        <w:bottom w:val="none" w:sz="0" w:space="0" w:color="auto"/>
        <w:right w:val="none" w:sz="0" w:space="0" w:color="auto"/>
      </w:divBdr>
    </w:div>
    <w:div w:id="1335298301">
      <w:bodyDiv w:val="1"/>
      <w:marLeft w:val="0"/>
      <w:marRight w:val="0"/>
      <w:marTop w:val="0"/>
      <w:marBottom w:val="0"/>
      <w:divBdr>
        <w:top w:val="none" w:sz="0" w:space="0" w:color="auto"/>
        <w:left w:val="none" w:sz="0" w:space="0" w:color="auto"/>
        <w:bottom w:val="none" w:sz="0" w:space="0" w:color="auto"/>
        <w:right w:val="none" w:sz="0" w:space="0" w:color="auto"/>
      </w:divBdr>
    </w:div>
    <w:div w:id="1346403299">
      <w:bodyDiv w:val="1"/>
      <w:marLeft w:val="0"/>
      <w:marRight w:val="0"/>
      <w:marTop w:val="0"/>
      <w:marBottom w:val="0"/>
      <w:divBdr>
        <w:top w:val="none" w:sz="0" w:space="0" w:color="auto"/>
        <w:left w:val="none" w:sz="0" w:space="0" w:color="auto"/>
        <w:bottom w:val="none" w:sz="0" w:space="0" w:color="auto"/>
        <w:right w:val="none" w:sz="0" w:space="0" w:color="auto"/>
      </w:divBdr>
    </w:div>
    <w:div w:id="1358848007">
      <w:bodyDiv w:val="1"/>
      <w:marLeft w:val="0"/>
      <w:marRight w:val="0"/>
      <w:marTop w:val="0"/>
      <w:marBottom w:val="0"/>
      <w:divBdr>
        <w:top w:val="none" w:sz="0" w:space="0" w:color="auto"/>
        <w:left w:val="none" w:sz="0" w:space="0" w:color="auto"/>
        <w:bottom w:val="none" w:sz="0" w:space="0" w:color="auto"/>
        <w:right w:val="none" w:sz="0" w:space="0" w:color="auto"/>
      </w:divBdr>
    </w:div>
    <w:div w:id="1460683229">
      <w:bodyDiv w:val="1"/>
      <w:marLeft w:val="0"/>
      <w:marRight w:val="0"/>
      <w:marTop w:val="0"/>
      <w:marBottom w:val="0"/>
      <w:divBdr>
        <w:top w:val="none" w:sz="0" w:space="0" w:color="auto"/>
        <w:left w:val="none" w:sz="0" w:space="0" w:color="auto"/>
        <w:bottom w:val="none" w:sz="0" w:space="0" w:color="auto"/>
        <w:right w:val="none" w:sz="0" w:space="0" w:color="auto"/>
      </w:divBdr>
    </w:div>
    <w:div w:id="1488353603">
      <w:bodyDiv w:val="1"/>
      <w:marLeft w:val="0"/>
      <w:marRight w:val="0"/>
      <w:marTop w:val="0"/>
      <w:marBottom w:val="0"/>
      <w:divBdr>
        <w:top w:val="none" w:sz="0" w:space="0" w:color="auto"/>
        <w:left w:val="none" w:sz="0" w:space="0" w:color="auto"/>
        <w:bottom w:val="none" w:sz="0" w:space="0" w:color="auto"/>
        <w:right w:val="none" w:sz="0" w:space="0" w:color="auto"/>
      </w:divBdr>
    </w:div>
    <w:div w:id="1532306298">
      <w:bodyDiv w:val="1"/>
      <w:marLeft w:val="0"/>
      <w:marRight w:val="0"/>
      <w:marTop w:val="0"/>
      <w:marBottom w:val="0"/>
      <w:divBdr>
        <w:top w:val="none" w:sz="0" w:space="0" w:color="auto"/>
        <w:left w:val="none" w:sz="0" w:space="0" w:color="auto"/>
        <w:bottom w:val="none" w:sz="0" w:space="0" w:color="auto"/>
        <w:right w:val="none" w:sz="0" w:space="0" w:color="auto"/>
      </w:divBdr>
    </w:div>
    <w:div w:id="1541431677">
      <w:bodyDiv w:val="1"/>
      <w:marLeft w:val="0"/>
      <w:marRight w:val="0"/>
      <w:marTop w:val="0"/>
      <w:marBottom w:val="0"/>
      <w:divBdr>
        <w:top w:val="none" w:sz="0" w:space="0" w:color="auto"/>
        <w:left w:val="none" w:sz="0" w:space="0" w:color="auto"/>
        <w:bottom w:val="none" w:sz="0" w:space="0" w:color="auto"/>
        <w:right w:val="none" w:sz="0" w:space="0" w:color="auto"/>
      </w:divBdr>
    </w:div>
    <w:div w:id="1604923426">
      <w:bodyDiv w:val="1"/>
      <w:marLeft w:val="0"/>
      <w:marRight w:val="0"/>
      <w:marTop w:val="0"/>
      <w:marBottom w:val="0"/>
      <w:divBdr>
        <w:top w:val="none" w:sz="0" w:space="0" w:color="auto"/>
        <w:left w:val="none" w:sz="0" w:space="0" w:color="auto"/>
        <w:bottom w:val="none" w:sz="0" w:space="0" w:color="auto"/>
        <w:right w:val="none" w:sz="0" w:space="0" w:color="auto"/>
      </w:divBdr>
    </w:div>
    <w:div w:id="1647859683">
      <w:bodyDiv w:val="1"/>
      <w:marLeft w:val="0"/>
      <w:marRight w:val="0"/>
      <w:marTop w:val="0"/>
      <w:marBottom w:val="0"/>
      <w:divBdr>
        <w:top w:val="none" w:sz="0" w:space="0" w:color="auto"/>
        <w:left w:val="none" w:sz="0" w:space="0" w:color="auto"/>
        <w:bottom w:val="none" w:sz="0" w:space="0" w:color="auto"/>
        <w:right w:val="none" w:sz="0" w:space="0" w:color="auto"/>
      </w:divBdr>
    </w:div>
    <w:div w:id="1695765549">
      <w:bodyDiv w:val="1"/>
      <w:marLeft w:val="0"/>
      <w:marRight w:val="0"/>
      <w:marTop w:val="0"/>
      <w:marBottom w:val="0"/>
      <w:divBdr>
        <w:top w:val="none" w:sz="0" w:space="0" w:color="auto"/>
        <w:left w:val="none" w:sz="0" w:space="0" w:color="auto"/>
        <w:bottom w:val="none" w:sz="0" w:space="0" w:color="auto"/>
        <w:right w:val="none" w:sz="0" w:space="0" w:color="auto"/>
      </w:divBdr>
    </w:div>
    <w:div w:id="1702853139">
      <w:bodyDiv w:val="1"/>
      <w:marLeft w:val="0"/>
      <w:marRight w:val="0"/>
      <w:marTop w:val="0"/>
      <w:marBottom w:val="0"/>
      <w:divBdr>
        <w:top w:val="none" w:sz="0" w:space="0" w:color="auto"/>
        <w:left w:val="none" w:sz="0" w:space="0" w:color="auto"/>
        <w:bottom w:val="none" w:sz="0" w:space="0" w:color="auto"/>
        <w:right w:val="none" w:sz="0" w:space="0" w:color="auto"/>
      </w:divBdr>
    </w:div>
    <w:div w:id="1719626591">
      <w:bodyDiv w:val="1"/>
      <w:marLeft w:val="0"/>
      <w:marRight w:val="0"/>
      <w:marTop w:val="0"/>
      <w:marBottom w:val="0"/>
      <w:divBdr>
        <w:top w:val="none" w:sz="0" w:space="0" w:color="auto"/>
        <w:left w:val="none" w:sz="0" w:space="0" w:color="auto"/>
        <w:bottom w:val="none" w:sz="0" w:space="0" w:color="auto"/>
        <w:right w:val="none" w:sz="0" w:space="0" w:color="auto"/>
      </w:divBdr>
    </w:div>
    <w:div w:id="1733581990">
      <w:bodyDiv w:val="1"/>
      <w:marLeft w:val="0"/>
      <w:marRight w:val="0"/>
      <w:marTop w:val="0"/>
      <w:marBottom w:val="0"/>
      <w:divBdr>
        <w:top w:val="none" w:sz="0" w:space="0" w:color="auto"/>
        <w:left w:val="none" w:sz="0" w:space="0" w:color="auto"/>
        <w:bottom w:val="none" w:sz="0" w:space="0" w:color="auto"/>
        <w:right w:val="none" w:sz="0" w:space="0" w:color="auto"/>
      </w:divBdr>
    </w:div>
    <w:div w:id="1750224947">
      <w:bodyDiv w:val="1"/>
      <w:marLeft w:val="0"/>
      <w:marRight w:val="0"/>
      <w:marTop w:val="0"/>
      <w:marBottom w:val="0"/>
      <w:divBdr>
        <w:top w:val="none" w:sz="0" w:space="0" w:color="auto"/>
        <w:left w:val="none" w:sz="0" w:space="0" w:color="auto"/>
        <w:bottom w:val="none" w:sz="0" w:space="0" w:color="auto"/>
        <w:right w:val="none" w:sz="0" w:space="0" w:color="auto"/>
      </w:divBdr>
    </w:div>
    <w:div w:id="1753818060">
      <w:bodyDiv w:val="1"/>
      <w:marLeft w:val="0"/>
      <w:marRight w:val="0"/>
      <w:marTop w:val="0"/>
      <w:marBottom w:val="0"/>
      <w:divBdr>
        <w:top w:val="none" w:sz="0" w:space="0" w:color="auto"/>
        <w:left w:val="none" w:sz="0" w:space="0" w:color="auto"/>
        <w:bottom w:val="none" w:sz="0" w:space="0" w:color="auto"/>
        <w:right w:val="none" w:sz="0" w:space="0" w:color="auto"/>
      </w:divBdr>
    </w:div>
    <w:div w:id="1766222332">
      <w:bodyDiv w:val="1"/>
      <w:marLeft w:val="0"/>
      <w:marRight w:val="0"/>
      <w:marTop w:val="0"/>
      <w:marBottom w:val="0"/>
      <w:divBdr>
        <w:top w:val="none" w:sz="0" w:space="0" w:color="auto"/>
        <w:left w:val="none" w:sz="0" w:space="0" w:color="auto"/>
        <w:bottom w:val="none" w:sz="0" w:space="0" w:color="auto"/>
        <w:right w:val="none" w:sz="0" w:space="0" w:color="auto"/>
      </w:divBdr>
    </w:div>
    <w:div w:id="1774937962">
      <w:bodyDiv w:val="1"/>
      <w:marLeft w:val="0"/>
      <w:marRight w:val="0"/>
      <w:marTop w:val="0"/>
      <w:marBottom w:val="0"/>
      <w:divBdr>
        <w:top w:val="none" w:sz="0" w:space="0" w:color="auto"/>
        <w:left w:val="none" w:sz="0" w:space="0" w:color="auto"/>
        <w:bottom w:val="none" w:sz="0" w:space="0" w:color="auto"/>
        <w:right w:val="none" w:sz="0" w:space="0" w:color="auto"/>
      </w:divBdr>
    </w:div>
    <w:div w:id="1791969417">
      <w:bodyDiv w:val="1"/>
      <w:marLeft w:val="0"/>
      <w:marRight w:val="0"/>
      <w:marTop w:val="0"/>
      <w:marBottom w:val="0"/>
      <w:divBdr>
        <w:top w:val="none" w:sz="0" w:space="0" w:color="auto"/>
        <w:left w:val="none" w:sz="0" w:space="0" w:color="auto"/>
        <w:bottom w:val="none" w:sz="0" w:space="0" w:color="auto"/>
        <w:right w:val="none" w:sz="0" w:space="0" w:color="auto"/>
      </w:divBdr>
    </w:div>
    <w:div w:id="1820226397">
      <w:bodyDiv w:val="1"/>
      <w:marLeft w:val="0"/>
      <w:marRight w:val="0"/>
      <w:marTop w:val="0"/>
      <w:marBottom w:val="0"/>
      <w:divBdr>
        <w:top w:val="none" w:sz="0" w:space="0" w:color="auto"/>
        <w:left w:val="none" w:sz="0" w:space="0" w:color="auto"/>
        <w:bottom w:val="none" w:sz="0" w:space="0" w:color="auto"/>
        <w:right w:val="none" w:sz="0" w:space="0" w:color="auto"/>
      </w:divBdr>
    </w:div>
    <w:div w:id="1843160517">
      <w:bodyDiv w:val="1"/>
      <w:marLeft w:val="0"/>
      <w:marRight w:val="0"/>
      <w:marTop w:val="0"/>
      <w:marBottom w:val="0"/>
      <w:divBdr>
        <w:top w:val="none" w:sz="0" w:space="0" w:color="auto"/>
        <w:left w:val="none" w:sz="0" w:space="0" w:color="auto"/>
        <w:bottom w:val="none" w:sz="0" w:space="0" w:color="auto"/>
        <w:right w:val="none" w:sz="0" w:space="0" w:color="auto"/>
      </w:divBdr>
    </w:div>
    <w:div w:id="1902981140">
      <w:bodyDiv w:val="1"/>
      <w:marLeft w:val="0"/>
      <w:marRight w:val="0"/>
      <w:marTop w:val="0"/>
      <w:marBottom w:val="0"/>
      <w:divBdr>
        <w:top w:val="none" w:sz="0" w:space="0" w:color="auto"/>
        <w:left w:val="none" w:sz="0" w:space="0" w:color="auto"/>
        <w:bottom w:val="none" w:sz="0" w:space="0" w:color="auto"/>
        <w:right w:val="none" w:sz="0" w:space="0" w:color="auto"/>
      </w:divBdr>
    </w:div>
    <w:div w:id="2019311345">
      <w:bodyDiv w:val="1"/>
      <w:marLeft w:val="0"/>
      <w:marRight w:val="0"/>
      <w:marTop w:val="0"/>
      <w:marBottom w:val="0"/>
      <w:divBdr>
        <w:top w:val="none" w:sz="0" w:space="0" w:color="auto"/>
        <w:left w:val="none" w:sz="0" w:space="0" w:color="auto"/>
        <w:bottom w:val="none" w:sz="0" w:space="0" w:color="auto"/>
        <w:right w:val="none" w:sz="0" w:space="0" w:color="auto"/>
      </w:divBdr>
    </w:div>
    <w:div w:id="205542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38" Type="http://schemas.openxmlformats.org/officeDocument/2006/relationships/control" Target="activeX/activeX130.xml"/><Relationship Id="rId154" Type="http://schemas.openxmlformats.org/officeDocument/2006/relationships/control" Target="activeX/activeX146.xml"/><Relationship Id="rId159" Type="http://schemas.openxmlformats.org/officeDocument/2006/relationships/control" Target="activeX/activeX151.xml"/><Relationship Id="rId175" Type="http://schemas.openxmlformats.org/officeDocument/2006/relationships/control" Target="activeX/activeX166.xml"/><Relationship Id="rId170" Type="http://schemas.openxmlformats.org/officeDocument/2006/relationships/control" Target="activeX/activeX162.xml"/><Relationship Id="rId191" Type="http://schemas.openxmlformats.org/officeDocument/2006/relationships/control" Target="activeX/activeX180.xml"/><Relationship Id="rId16" Type="http://schemas.openxmlformats.org/officeDocument/2006/relationships/control" Target="activeX/activeX8.xml"/><Relationship Id="rId107" Type="http://schemas.openxmlformats.org/officeDocument/2006/relationships/control" Target="activeX/activeX99.xml"/><Relationship Id="rId11" Type="http://schemas.openxmlformats.org/officeDocument/2006/relationships/control" Target="activeX/activeX3.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28" Type="http://schemas.openxmlformats.org/officeDocument/2006/relationships/control" Target="activeX/activeX120.xml"/><Relationship Id="rId144" Type="http://schemas.openxmlformats.org/officeDocument/2006/relationships/control" Target="activeX/activeX136.xml"/><Relationship Id="rId149" Type="http://schemas.openxmlformats.org/officeDocument/2006/relationships/control" Target="activeX/activeX141.xml"/><Relationship Id="rId5" Type="http://schemas.openxmlformats.org/officeDocument/2006/relationships/footnotes" Target="footnotes.xml"/><Relationship Id="rId90" Type="http://schemas.openxmlformats.org/officeDocument/2006/relationships/control" Target="activeX/activeX82.xml"/><Relationship Id="rId95" Type="http://schemas.openxmlformats.org/officeDocument/2006/relationships/control" Target="activeX/activeX87.xml"/><Relationship Id="rId160" Type="http://schemas.openxmlformats.org/officeDocument/2006/relationships/control" Target="activeX/activeX152.xml"/><Relationship Id="rId165" Type="http://schemas.openxmlformats.org/officeDocument/2006/relationships/control" Target="activeX/activeX157.xml"/><Relationship Id="rId181" Type="http://schemas.openxmlformats.org/officeDocument/2006/relationships/control" Target="activeX/activeX171.xml"/><Relationship Id="rId186" Type="http://schemas.openxmlformats.org/officeDocument/2006/relationships/control" Target="activeX/activeX175.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6.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42.xml"/><Relationship Id="rId155" Type="http://schemas.openxmlformats.org/officeDocument/2006/relationships/control" Target="activeX/activeX147.xml"/><Relationship Id="rId171" Type="http://schemas.openxmlformats.org/officeDocument/2006/relationships/control" Target="activeX/activeX163.xml"/><Relationship Id="rId176" Type="http://schemas.openxmlformats.org/officeDocument/2006/relationships/control" Target="activeX/activeX167.xml"/><Relationship Id="rId192" Type="http://schemas.openxmlformats.org/officeDocument/2006/relationships/fontTable" Target="fontTable.xml"/><Relationship Id="rId12" Type="http://schemas.openxmlformats.org/officeDocument/2006/relationships/control" Target="activeX/activeX4.xml"/><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3.xml"/><Relationship Id="rId166" Type="http://schemas.openxmlformats.org/officeDocument/2006/relationships/control" Target="activeX/activeX158.xml"/><Relationship Id="rId182" Type="http://schemas.openxmlformats.org/officeDocument/2006/relationships/control" Target="activeX/activeX172.xml"/><Relationship Id="rId187" Type="http://schemas.openxmlformats.org/officeDocument/2006/relationships/control" Target="activeX/activeX176.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119" Type="http://schemas.openxmlformats.org/officeDocument/2006/relationships/control" Target="activeX/activeX111.xml"/><Relationship Id="rId44" Type="http://schemas.openxmlformats.org/officeDocument/2006/relationships/control" Target="activeX/activeX36.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22.xml"/><Relationship Id="rId135" Type="http://schemas.openxmlformats.org/officeDocument/2006/relationships/control" Target="activeX/activeX127.xml"/><Relationship Id="rId151" Type="http://schemas.openxmlformats.org/officeDocument/2006/relationships/control" Target="activeX/activeX143.xml"/><Relationship Id="rId156" Type="http://schemas.openxmlformats.org/officeDocument/2006/relationships/control" Target="activeX/activeX148.xml"/><Relationship Id="rId177" Type="http://schemas.openxmlformats.org/officeDocument/2006/relationships/control" Target="activeX/activeX168.xml"/><Relationship Id="rId172" Type="http://schemas.openxmlformats.org/officeDocument/2006/relationships/control" Target="activeX/activeX164.xml"/><Relationship Id="rId193" Type="http://schemas.openxmlformats.org/officeDocument/2006/relationships/theme" Target="theme/theme1.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10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77.xml"/><Relationship Id="rId7" Type="http://schemas.openxmlformats.org/officeDocument/2006/relationships/image" Target="media/image1.wmf"/><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4.xml"/><Relationship Id="rId183" Type="http://schemas.openxmlformats.org/officeDocument/2006/relationships/control" Target="activeX/activeX173.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image" Target="media/image4.jpeg"/><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4.xml"/><Relationship Id="rId173" Type="http://schemas.openxmlformats.org/officeDocument/2006/relationships/control" Target="activeX/activeX165.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control" Target="activeX/activeX1.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4.xml"/><Relationship Id="rId189" Type="http://schemas.openxmlformats.org/officeDocument/2006/relationships/control" Target="activeX/activeX178.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image" Target="media/image3.jpeg"/><Relationship Id="rId179" Type="http://schemas.openxmlformats.org/officeDocument/2006/relationships/control" Target="activeX/activeX169.xml"/><Relationship Id="rId190" Type="http://schemas.openxmlformats.org/officeDocument/2006/relationships/control" Target="activeX/activeX179.xml"/><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2.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control" Target="activeX/activeX170.xml"/><Relationship Id="rId26"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42</Pages>
  <Words>10431</Words>
  <Characters>59458</Characters>
  <Application>Microsoft Office Word</Application>
  <DocSecurity>0</DocSecurity>
  <Lines>495</Lines>
  <Paragraphs>139</Paragraphs>
  <ScaleCrop>false</ScaleCrop>
  <Company>番茄花园</Company>
  <LinksUpToDate>false</LinksUpToDate>
  <CharactersWithSpaces>69750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8</cp:revision>
  <dcterms:created xsi:type="dcterms:W3CDTF">2011-03-24T05:40:00Z</dcterms:created>
  <dcterms:modified xsi:type="dcterms:W3CDTF">2011-03-24T06:17:00Z</dcterms:modified>
</cp:coreProperties>
</file>