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Default Extension="jpeg" ContentType="image/jpeg"/>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97" w:type="pct"/>
        <w:tblCellSpacing w:w="15" w:type="dxa"/>
        <w:tblCellMar>
          <w:top w:w="30" w:type="dxa"/>
          <w:left w:w="30" w:type="dxa"/>
          <w:bottom w:w="30" w:type="dxa"/>
          <w:right w:w="30" w:type="dxa"/>
        </w:tblCellMar>
        <w:tblLook w:val="04A0"/>
      </w:tblPr>
      <w:tblGrid>
        <w:gridCol w:w="420"/>
        <w:gridCol w:w="996"/>
        <w:gridCol w:w="127"/>
        <w:gridCol w:w="6625"/>
        <w:gridCol w:w="96"/>
        <w:gridCol w:w="96"/>
        <w:gridCol w:w="96"/>
        <w:gridCol w:w="30"/>
        <w:gridCol w:w="96"/>
        <w:gridCol w:w="96"/>
        <w:gridCol w:w="111"/>
      </w:tblGrid>
      <w:tr w:rsidR="009D3A3D" w:rsidRPr="009D3A3D" w:rsidTr="009D3A3D">
        <w:trPr>
          <w:gridAfter w:val="4"/>
          <w:wAfter w:w="289" w:type="dxa"/>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D3A3D" w:rsidRPr="009D3A3D" w:rsidRDefault="009D3A3D" w:rsidP="009D3A3D">
            <w:pPr>
              <w:widowControl/>
              <w:jc w:val="left"/>
              <w:rPr>
                <w:rFonts w:ascii="Segoe UI" w:eastAsia="宋体" w:hAnsi="Segoe UI" w:cs="Segoe UI"/>
                <w:b/>
                <w:bCs/>
                <w:color w:val="000000"/>
                <w:kern w:val="0"/>
                <w:sz w:val="18"/>
                <w:szCs w:val="18"/>
              </w:rPr>
            </w:pPr>
            <w:r w:rsidRPr="009D3A3D">
              <w:rPr>
                <w:rFonts w:ascii="Segoe UI" w:eastAsia="宋体" w:hAnsi="Segoe UI" w:cs="Segoe UI"/>
                <w:b/>
                <w:bCs/>
                <w:color w:val="000000"/>
                <w:kern w:val="0"/>
                <w:sz w:val="18"/>
                <w:szCs w:val="18"/>
              </w:rPr>
              <w:t>20</w:t>
            </w:r>
          </w:p>
        </w:tc>
        <w:tc>
          <w:tcPr>
            <w:tcW w:w="0" w:type="auto"/>
            <w:gridSpan w:val="6"/>
            <w:tcBorders>
              <w:top w:val="single" w:sz="6" w:space="0" w:color="AAAAAA"/>
              <w:left w:val="single" w:sz="6" w:space="0" w:color="AAAAAA"/>
              <w:bottom w:val="single" w:sz="6" w:space="0" w:color="AAAAAA"/>
              <w:right w:val="single" w:sz="6" w:space="0" w:color="AAAAAA"/>
            </w:tcBorders>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xml:space="preserve">Which of the following actions on the part of a central bank is </w:t>
            </w:r>
            <w:r w:rsidRPr="009D3A3D">
              <w:rPr>
                <w:rFonts w:ascii="Segoe UI" w:eastAsia="宋体" w:hAnsi="Segoe UI" w:cs="Segoe UI"/>
                <w:i/>
                <w:iCs/>
                <w:color w:val="333333"/>
                <w:kern w:val="0"/>
                <w:sz w:val="18"/>
                <w:szCs w:val="18"/>
              </w:rPr>
              <w:t>most consistent</w:t>
            </w:r>
            <w:r w:rsidRPr="009D3A3D">
              <w:rPr>
                <w:rFonts w:ascii="Segoe UI" w:eastAsia="宋体" w:hAnsi="Segoe UI" w:cs="Segoe UI"/>
                <w:color w:val="333333"/>
                <w:kern w:val="0"/>
                <w:sz w:val="18"/>
                <w:szCs w:val="18"/>
              </w:rPr>
              <w:t xml:space="preserve"> with increasing the quantity of money?</w:t>
            </w:r>
          </w:p>
        </w:tc>
      </w:tr>
      <w:tr w:rsidR="009D3A3D" w:rsidRPr="009D3A3D" w:rsidTr="009D3A3D">
        <w:trPr>
          <w:gridAfter w:val="4"/>
          <w:wAfter w:w="289" w:type="dxa"/>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701" w:type="dxa"/>
            <w:gridSpan w:val="2"/>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5.75pt" o:ole="">
                  <v:imagedata r:id="rId7" o:title=""/>
                </v:shape>
                <w:control r:id="rId8" w:name="DefaultOcxName" w:shapeid="_x0000_i1033"/>
              </w:object>
            </w:r>
          </w:p>
        </w:tc>
        <w:tc>
          <w:tcPr>
            <w:tcW w:w="6972"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A.</w:t>
            </w:r>
            <w:r w:rsidRPr="009D3A3D">
              <w:rPr>
                <w:rFonts w:ascii="Segoe UI" w:eastAsia="宋体" w:hAnsi="Segoe UI" w:cs="Segoe UI"/>
                <w:color w:val="000000"/>
                <w:kern w:val="0"/>
                <w:sz w:val="18"/>
                <w:szCs w:val="18"/>
              </w:rPr>
              <w:t xml:space="preserve"> Selling securities on the open market</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gridAfter w:val="4"/>
          <w:wAfter w:w="289" w:type="dxa"/>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701" w:type="dxa"/>
            <w:gridSpan w:val="2"/>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32" type="#_x0000_t75" style="width:20.25pt;height:15.75pt" o:ole="">
                  <v:imagedata r:id="rId9" o:title=""/>
                </v:shape>
                <w:control r:id="rId10" w:name="DefaultOcxName1" w:shapeid="_x0000_i1032"/>
              </w:object>
            </w:r>
          </w:p>
        </w:tc>
        <w:tc>
          <w:tcPr>
            <w:tcW w:w="6972"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B.</w:t>
            </w:r>
            <w:r w:rsidRPr="009D3A3D">
              <w:rPr>
                <w:rFonts w:ascii="Segoe UI" w:eastAsia="宋体" w:hAnsi="Segoe UI" w:cs="Segoe UI"/>
                <w:color w:val="000000"/>
                <w:kern w:val="0"/>
                <w:sz w:val="18"/>
                <w:szCs w:val="18"/>
              </w:rPr>
              <w:t xml:space="preserve"> Increasing the required reserve ratios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gridAfter w:val="4"/>
          <w:wAfter w:w="289" w:type="dxa"/>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701" w:type="dxa"/>
            <w:gridSpan w:val="2"/>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31" type="#_x0000_t75" style="width:20.25pt;height:15.75pt" o:ole="">
                  <v:imagedata r:id="rId9" o:title=""/>
                </v:shape>
                <w:control r:id="rId11" w:name="DefaultOcxName2" w:shapeid="_x0000_i1031"/>
              </w:object>
            </w:r>
          </w:p>
        </w:tc>
        <w:tc>
          <w:tcPr>
            <w:tcW w:w="6972"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C.</w:t>
            </w:r>
            <w:r w:rsidRPr="009D3A3D">
              <w:rPr>
                <w:rFonts w:ascii="Segoe UI" w:eastAsia="宋体" w:hAnsi="Segoe UI" w:cs="Segoe UI"/>
                <w:color w:val="000000"/>
                <w:kern w:val="0"/>
                <w:sz w:val="18"/>
                <w:szCs w:val="18"/>
              </w:rPr>
              <w:t xml:space="preserve"> Purchasing securities on the open market</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gridAfter w:val="4"/>
          <w:wAfter w:w="289" w:type="dxa"/>
          <w:trHeight w:val="525"/>
          <w:tblCellSpacing w:w="15" w:type="dxa"/>
        </w:trPr>
        <w:tc>
          <w:tcPr>
            <w:tcW w:w="375" w:type="dxa"/>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0" w:type="auto"/>
            <w:gridSpan w:val="6"/>
            <w:shd w:val="clear" w:color="auto" w:fill="FF6347"/>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b/>
                <w:bCs/>
                <w:color w:val="000080"/>
                <w:kern w:val="0"/>
                <w:sz w:val="16"/>
                <w:szCs w:val="16"/>
              </w:rPr>
              <w:t>Feedback:</w:t>
            </w:r>
            <w:r w:rsidRPr="009D3A3D">
              <w:rPr>
                <w:rFonts w:ascii="Segoe UI" w:eastAsia="宋体" w:hAnsi="Segoe UI" w:cs="Segoe UI"/>
                <w:color w:val="333333"/>
                <w:kern w:val="0"/>
                <w:sz w:val="18"/>
                <w:szCs w:val="18"/>
              </w:rPr>
              <w:t xml:space="preserve"> You have answered incorrectly.</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Correct answer: </w:t>
            </w:r>
            <w:r w:rsidRPr="009D3A3D">
              <w:rPr>
                <w:rFonts w:ascii="Segoe UI" w:eastAsia="宋体" w:hAnsi="Segoe UI" w:cs="Segoe UI"/>
                <w:b/>
                <w:bCs/>
                <w:color w:val="333333"/>
                <w:kern w:val="0"/>
                <w:sz w:val="18"/>
                <w:szCs w:val="18"/>
              </w:rPr>
              <w:t>C</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"Money, the Price Level, and Inflation," Michael </w:t>
            </w:r>
            <w:proofErr w:type="spellStart"/>
            <w:r w:rsidRPr="009D3A3D">
              <w:rPr>
                <w:rFonts w:ascii="Segoe UI" w:eastAsia="宋体" w:hAnsi="Segoe UI" w:cs="Segoe UI"/>
                <w:color w:val="333333"/>
                <w:kern w:val="0"/>
                <w:sz w:val="18"/>
                <w:szCs w:val="18"/>
              </w:rPr>
              <w:t>Parkin</w:t>
            </w:r>
            <w:proofErr w:type="spellEnd"/>
            <w:r w:rsidRPr="009D3A3D">
              <w:rPr>
                <w:rFonts w:ascii="Segoe UI" w:eastAsia="宋体" w:hAnsi="Segoe UI" w:cs="Segoe UI"/>
                <w:color w:val="333333"/>
                <w:kern w:val="0"/>
                <w:sz w:val="18"/>
                <w:szCs w:val="18"/>
              </w:rPr>
              <w:br/>
              <w:t>2011 Modular Level I, Vol. 2, pp. 371–372, 376</w:t>
            </w:r>
            <w:r w:rsidRPr="009D3A3D">
              <w:rPr>
                <w:rFonts w:ascii="Segoe UI" w:eastAsia="宋体" w:hAnsi="Segoe UI" w:cs="Segoe UI"/>
                <w:color w:val="333333"/>
                <w:kern w:val="0"/>
                <w:sz w:val="18"/>
                <w:szCs w:val="18"/>
              </w:rPr>
              <w:br/>
              <w:t>Study Session 6–24–d</w:t>
            </w:r>
            <w:r w:rsidRPr="009D3A3D">
              <w:rPr>
                <w:rFonts w:ascii="Segoe UI" w:eastAsia="宋体" w:hAnsi="Segoe UI" w:cs="Segoe UI"/>
                <w:color w:val="333333"/>
                <w:kern w:val="0"/>
                <w:sz w:val="18"/>
                <w:szCs w:val="18"/>
              </w:rPr>
              <w:br/>
              <w:t>Explain the goals of the U.S. Federal Reserve (Fed) in conducting monetary policy and how the Fed uses its policy tools to control the quantity of money, and describe the assets and liabilities on the Fed's balance sheet.</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When a central bank such as the Fed purchases securities, bank reserves increase. The banks therefore have excess reserves and are able to increase their lending, increasing the money supply. See the sequence of events given on p. 376 of the reading. </w:t>
            </w:r>
          </w:p>
        </w:tc>
      </w:tr>
      <w:tr w:rsidR="009D3A3D" w:rsidRPr="009D3A3D" w:rsidTr="009D3A3D">
        <w:trPr>
          <w:gridAfter w:val="4"/>
          <w:wAfter w:w="289" w:type="dxa"/>
          <w:trHeight w:val="525"/>
          <w:tblCellSpacing w:w="15" w:type="dxa"/>
        </w:trPr>
        <w:tc>
          <w:tcPr>
            <w:tcW w:w="375" w:type="dxa"/>
            <w:shd w:val="clear" w:color="auto" w:fill="FFFFCC"/>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21</w:t>
            </w:r>
          </w:p>
        </w:tc>
        <w:tc>
          <w:tcPr>
            <w:tcW w:w="0" w:type="auto"/>
            <w:gridSpan w:val="6"/>
            <w:shd w:val="clear" w:color="auto" w:fill="FF6347"/>
            <w:vAlign w:val="center"/>
            <w:hideMark/>
          </w:tcPr>
          <w:p w:rsidR="009D3A3D" w:rsidRPr="009D3A3D" w:rsidRDefault="009D3A3D" w:rsidP="009D3A3D">
            <w:pPr>
              <w:widowControl/>
              <w:jc w:val="left"/>
              <w:rPr>
                <w:rFonts w:ascii="Segoe UI" w:eastAsia="宋体" w:hAnsi="Segoe UI" w:cs="Segoe UI"/>
                <w:b/>
                <w:bCs/>
                <w:color w:val="000080"/>
                <w:kern w:val="0"/>
                <w:sz w:val="16"/>
                <w:szCs w:val="16"/>
              </w:rPr>
            </w:pPr>
            <w:r w:rsidRPr="009D3A3D">
              <w:rPr>
                <w:rFonts w:ascii="Segoe UI" w:eastAsia="宋体" w:hAnsi="Segoe UI" w:cs="Segoe UI"/>
                <w:b/>
                <w:bCs/>
                <w:color w:val="000080"/>
                <w:kern w:val="0"/>
                <w:sz w:val="16"/>
                <w:szCs w:val="16"/>
              </w:rPr>
              <w:t>Perfect price discrimination is best described as pricing that allows producers to increase their economic profit while consumer surplus:</w:t>
            </w: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565"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45" type="#_x0000_t75" style="width:20.25pt;height:15.75pt" o:ole="">
                  <v:imagedata r:id="rId7" o:title=""/>
                </v:shape>
                <w:control r:id="rId12" w:name="DefaultOcxName3" w:shapeid="_x0000_i1045"/>
              </w:object>
            </w:r>
          </w:p>
        </w:tc>
        <w:tc>
          <w:tcPr>
            <w:tcW w:w="7442" w:type="dxa"/>
            <w:gridSpan w:val="6"/>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A.</w:t>
            </w:r>
            <w:r w:rsidRPr="009D3A3D">
              <w:rPr>
                <w:rFonts w:ascii="Segoe UI" w:eastAsia="宋体" w:hAnsi="Segoe UI" w:cs="Segoe UI"/>
                <w:color w:val="000000"/>
                <w:kern w:val="0"/>
                <w:sz w:val="18"/>
                <w:szCs w:val="18"/>
              </w:rPr>
              <w:t xml:space="preserve"> increases.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565"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44" type="#_x0000_t75" style="width:20.25pt;height:15.75pt" o:ole="">
                  <v:imagedata r:id="rId9" o:title=""/>
                </v:shape>
                <w:control r:id="rId13" w:name="DefaultOcxName11" w:shapeid="_x0000_i1044"/>
              </w:object>
            </w:r>
          </w:p>
        </w:tc>
        <w:tc>
          <w:tcPr>
            <w:tcW w:w="7442" w:type="dxa"/>
            <w:gridSpan w:val="6"/>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B.</w:t>
            </w:r>
            <w:r w:rsidRPr="009D3A3D">
              <w:rPr>
                <w:rFonts w:ascii="Segoe UI" w:eastAsia="宋体" w:hAnsi="Segoe UI" w:cs="Segoe UI"/>
                <w:color w:val="000000"/>
                <w:kern w:val="0"/>
                <w:sz w:val="18"/>
                <w:szCs w:val="18"/>
              </w:rPr>
              <w:t xml:space="preserve"> decreases.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565"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43" type="#_x0000_t75" style="width:20.25pt;height:15.75pt" o:ole="">
                  <v:imagedata r:id="rId9" o:title=""/>
                </v:shape>
                <w:control r:id="rId14" w:name="DefaultOcxName21" w:shapeid="_x0000_i1043"/>
              </w:object>
            </w:r>
          </w:p>
        </w:tc>
        <w:tc>
          <w:tcPr>
            <w:tcW w:w="7442" w:type="dxa"/>
            <w:gridSpan w:val="6"/>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C.</w:t>
            </w:r>
            <w:r w:rsidRPr="009D3A3D">
              <w:rPr>
                <w:rFonts w:ascii="Segoe UI" w:eastAsia="宋体" w:hAnsi="Segoe UI" w:cs="Segoe UI"/>
                <w:color w:val="000000"/>
                <w:kern w:val="0"/>
                <w:sz w:val="18"/>
                <w:szCs w:val="18"/>
              </w:rPr>
              <w:t xml:space="preserve"> remains steady.</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0" w:type="auto"/>
            <w:gridSpan w:val="10"/>
            <w:shd w:val="clear" w:color="auto" w:fill="FF6347"/>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b/>
                <w:bCs/>
                <w:color w:val="000080"/>
                <w:kern w:val="0"/>
                <w:sz w:val="16"/>
                <w:szCs w:val="16"/>
              </w:rPr>
              <w:t>Feedback:</w:t>
            </w:r>
            <w:r w:rsidRPr="009D3A3D">
              <w:rPr>
                <w:rFonts w:ascii="Segoe UI" w:eastAsia="宋体" w:hAnsi="Segoe UI" w:cs="Segoe UI"/>
                <w:color w:val="333333"/>
                <w:kern w:val="0"/>
                <w:sz w:val="18"/>
                <w:szCs w:val="18"/>
              </w:rPr>
              <w:t xml:space="preserve"> You have answered incorrectly.</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Correct answer: </w:t>
            </w:r>
            <w:r w:rsidRPr="009D3A3D">
              <w:rPr>
                <w:rFonts w:ascii="Segoe UI" w:eastAsia="宋体" w:hAnsi="Segoe UI" w:cs="Segoe UI"/>
                <w:b/>
                <w:bCs/>
                <w:color w:val="333333"/>
                <w:kern w:val="0"/>
                <w:sz w:val="18"/>
                <w:szCs w:val="18"/>
              </w:rPr>
              <w:t>B</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"Monopoly," Michael </w:t>
            </w:r>
            <w:proofErr w:type="spellStart"/>
            <w:r w:rsidRPr="009D3A3D">
              <w:rPr>
                <w:rFonts w:ascii="Segoe UI" w:eastAsia="宋体" w:hAnsi="Segoe UI" w:cs="Segoe UI"/>
                <w:color w:val="333333"/>
                <w:kern w:val="0"/>
                <w:sz w:val="18"/>
                <w:szCs w:val="18"/>
              </w:rPr>
              <w:t>Parkin</w:t>
            </w:r>
            <w:proofErr w:type="spellEnd"/>
            <w:r w:rsidRPr="009D3A3D">
              <w:rPr>
                <w:rFonts w:ascii="Segoe UI" w:eastAsia="宋体" w:hAnsi="Segoe UI" w:cs="Segoe UI"/>
                <w:color w:val="333333"/>
                <w:kern w:val="0"/>
                <w:sz w:val="18"/>
                <w:szCs w:val="18"/>
              </w:rPr>
              <w:br/>
              <w:t>2011 Modular Level I, Vol. 2, pp. 193, 206–208</w:t>
            </w:r>
            <w:r w:rsidRPr="009D3A3D">
              <w:rPr>
                <w:rFonts w:ascii="Segoe UI" w:eastAsia="宋体" w:hAnsi="Segoe UI" w:cs="Segoe UI"/>
                <w:color w:val="333333"/>
                <w:kern w:val="0"/>
                <w:sz w:val="18"/>
                <w:szCs w:val="18"/>
              </w:rPr>
              <w:br/>
              <w:t>Study Session 4–19–c</w:t>
            </w:r>
            <w:r w:rsidRPr="009D3A3D">
              <w:rPr>
                <w:rFonts w:ascii="Segoe UI" w:eastAsia="宋体" w:hAnsi="Segoe UI" w:cs="Segoe UI"/>
                <w:color w:val="333333"/>
                <w:kern w:val="0"/>
                <w:sz w:val="18"/>
                <w:szCs w:val="18"/>
              </w:rPr>
              <w:br/>
              <w:t>Explain price discrimination and why perfect price discrimination is efficient.</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In perfect price discrimination, all </w:t>
            </w:r>
            <w:proofErr w:type="gramStart"/>
            <w:r w:rsidRPr="009D3A3D">
              <w:rPr>
                <w:rFonts w:ascii="Segoe UI" w:eastAsia="宋体" w:hAnsi="Segoe UI" w:cs="Segoe UI"/>
                <w:color w:val="333333"/>
                <w:kern w:val="0"/>
                <w:sz w:val="18"/>
                <w:szCs w:val="18"/>
              </w:rPr>
              <w:t>surplus</w:t>
            </w:r>
            <w:proofErr w:type="gramEnd"/>
            <w:r w:rsidRPr="009D3A3D">
              <w:rPr>
                <w:rFonts w:ascii="Segoe UI" w:eastAsia="宋体" w:hAnsi="Segoe UI" w:cs="Segoe UI"/>
                <w:color w:val="333333"/>
                <w:kern w:val="0"/>
                <w:sz w:val="18"/>
                <w:szCs w:val="18"/>
              </w:rPr>
              <w:t xml:space="preserve"> is captured by the producer. Consumer surplus falls to zero. </w:t>
            </w:r>
          </w:p>
        </w:tc>
      </w:tr>
    </w:tbl>
    <w:p w:rsidR="00000000" w:rsidRDefault="00174706">
      <w:pPr>
        <w:rPr>
          <w:rFonts w:hint="eastAsia"/>
        </w:rPr>
      </w:pPr>
    </w:p>
    <w:tbl>
      <w:tblPr>
        <w:tblW w:w="5000" w:type="pct"/>
        <w:tblCellSpacing w:w="15" w:type="dxa"/>
        <w:tblCellMar>
          <w:top w:w="30" w:type="dxa"/>
          <w:left w:w="30" w:type="dxa"/>
          <w:bottom w:w="30" w:type="dxa"/>
          <w:right w:w="30" w:type="dxa"/>
        </w:tblCellMar>
        <w:tblLook w:val="04A0"/>
      </w:tblPr>
      <w:tblGrid>
        <w:gridCol w:w="420"/>
        <w:gridCol w:w="660"/>
        <w:gridCol w:w="7073"/>
        <w:gridCol w:w="96"/>
        <w:gridCol w:w="96"/>
        <w:gridCol w:w="111"/>
      </w:tblGrid>
      <w:tr w:rsidR="009D3A3D" w:rsidRPr="009D3A3D" w:rsidTr="009D3A3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D3A3D" w:rsidRPr="009D3A3D" w:rsidRDefault="009D3A3D" w:rsidP="009D3A3D">
            <w:pPr>
              <w:widowControl/>
              <w:jc w:val="left"/>
              <w:rPr>
                <w:rFonts w:ascii="Segoe UI" w:eastAsia="宋体" w:hAnsi="Segoe UI" w:cs="Segoe UI"/>
                <w:b/>
                <w:bCs/>
                <w:color w:val="000000"/>
                <w:kern w:val="0"/>
                <w:sz w:val="18"/>
                <w:szCs w:val="18"/>
              </w:rPr>
            </w:pPr>
            <w:r w:rsidRPr="009D3A3D">
              <w:rPr>
                <w:rFonts w:ascii="Segoe UI" w:eastAsia="宋体" w:hAnsi="Segoe UI" w:cs="Segoe UI"/>
                <w:b/>
                <w:bCs/>
                <w:color w:val="000000"/>
                <w:kern w:val="0"/>
                <w:sz w:val="18"/>
                <w:szCs w:val="18"/>
              </w:rPr>
              <w:lastRenderedPageBreak/>
              <w:t>22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xml:space="preserve">Which of the following multipliers is </w:t>
            </w:r>
            <w:r w:rsidRPr="009D3A3D">
              <w:rPr>
                <w:rFonts w:ascii="Segoe UI" w:eastAsia="宋体" w:hAnsi="Segoe UI" w:cs="Segoe UI"/>
                <w:i/>
                <w:iCs/>
                <w:color w:val="333333"/>
                <w:kern w:val="0"/>
                <w:sz w:val="18"/>
                <w:szCs w:val="18"/>
              </w:rPr>
              <w:t>least likely</w:t>
            </w:r>
            <w:r w:rsidRPr="009D3A3D">
              <w:rPr>
                <w:rFonts w:ascii="Segoe UI" w:eastAsia="宋体" w:hAnsi="Segoe UI" w:cs="Segoe UI"/>
                <w:color w:val="333333"/>
                <w:kern w:val="0"/>
                <w:sz w:val="18"/>
                <w:szCs w:val="18"/>
              </w:rPr>
              <w:t xml:space="preserve"> to be part of fiscal policy?</w:t>
            </w: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54" type="#_x0000_t75" style="width:20.25pt;height:15.75pt" o:ole="">
                  <v:imagedata r:id="rId7" o:title=""/>
                </v:shape>
                <w:control r:id="rId15" w:name="DefaultOcxName4" w:shapeid="_x0000_i105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A.</w:t>
            </w:r>
            <w:r w:rsidRPr="009D3A3D">
              <w:rPr>
                <w:rFonts w:ascii="Segoe UI" w:eastAsia="宋体" w:hAnsi="Segoe UI" w:cs="Segoe UI"/>
                <w:color w:val="000000"/>
                <w:kern w:val="0"/>
                <w:sz w:val="18"/>
                <w:szCs w:val="18"/>
              </w:rPr>
              <w:t xml:space="preserve"> Money multiplier</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53" type="#_x0000_t75" style="width:20.25pt;height:15.75pt" o:ole="">
                  <v:imagedata r:id="rId9" o:title=""/>
                </v:shape>
                <w:control r:id="rId16" w:name="DefaultOcxName12" w:shapeid="_x0000_i10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B.</w:t>
            </w:r>
            <w:r w:rsidRPr="009D3A3D">
              <w:rPr>
                <w:rFonts w:ascii="Segoe UI" w:eastAsia="宋体" w:hAnsi="Segoe UI" w:cs="Segoe UI"/>
                <w:color w:val="000000"/>
                <w:kern w:val="0"/>
                <w:sz w:val="18"/>
                <w:szCs w:val="18"/>
              </w:rPr>
              <w:t xml:space="preserve"> Balanced budget multiplier</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52" type="#_x0000_t75" style="width:20.25pt;height:15.75pt" o:ole="">
                  <v:imagedata r:id="rId9" o:title=""/>
                </v:shape>
                <w:control r:id="rId17" w:name="DefaultOcxName22" w:shapeid="_x0000_i10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C.</w:t>
            </w:r>
            <w:r w:rsidRPr="009D3A3D">
              <w:rPr>
                <w:rFonts w:ascii="Segoe UI" w:eastAsia="宋体" w:hAnsi="Segoe UI" w:cs="Segoe UI"/>
                <w:color w:val="000000"/>
                <w:kern w:val="0"/>
                <w:sz w:val="18"/>
                <w:szCs w:val="18"/>
              </w:rPr>
              <w:t xml:space="preserve"> Government expenditure multiplier</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0" w:type="auto"/>
            <w:gridSpan w:val="5"/>
            <w:shd w:val="clear" w:color="auto" w:fill="9ACD32"/>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b/>
                <w:bCs/>
                <w:color w:val="000080"/>
                <w:kern w:val="0"/>
                <w:sz w:val="16"/>
                <w:szCs w:val="16"/>
              </w:rPr>
              <w:t>Feedback:</w:t>
            </w:r>
            <w:r w:rsidRPr="009D3A3D">
              <w:rPr>
                <w:rFonts w:ascii="Segoe UI" w:eastAsia="宋体" w:hAnsi="Segoe UI" w:cs="Segoe UI"/>
                <w:color w:val="333333"/>
                <w:kern w:val="0"/>
                <w:sz w:val="18"/>
                <w:szCs w:val="18"/>
              </w:rPr>
              <w:t xml:space="preserve"> You have answered correctly.</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Correct answer: </w:t>
            </w:r>
            <w:r w:rsidRPr="009D3A3D">
              <w:rPr>
                <w:rFonts w:ascii="Segoe UI" w:eastAsia="宋体" w:hAnsi="Segoe UI" w:cs="Segoe UI"/>
                <w:b/>
                <w:bCs/>
                <w:color w:val="333333"/>
                <w:kern w:val="0"/>
                <w:sz w:val="18"/>
                <w:szCs w:val="18"/>
              </w:rPr>
              <w:t>A</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"Money, the Price Level, and Inflation," Michael </w:t>
            </w:r>
            <w:proofErr w:type="spellStart"/>
            <w:r w:rsidRPr="009D3A3D">
              <w:rPr>
                <w:rFonts w:ascii="Segoe UI" w:eastAsia="宋体" w:hAnsi="Segoe UI" w:cs="Segoe UI"/>
                <w:color w:val="333333"/>
                <w:kern w:val="0"/>
                <w:sz w:val="18"/>
                <w:szCs w:val="18"/>
              </w:rPr>
              <w:t>Parkin</w:t>
            </w:r>
            <w:proofErr w:type="spellEnd"/>
            <w:r w:rsidRPr="009D3A3D">
              <w:rPr>
                <w:rFonts w:ascii="Segoe UI" w:eastAsia="宋体" w:hAnsi="Segoe UI" w:cs="Segoe UI"/>
                <w:color w:val="333333"/>
                <w:kern w:val="0"/>
                <w:sz w:val="18"/>
                <w:szCs w:val="18"/>
              </w:rPr>
              <w:br/>
              <w:t>2011 Modular Level I, Vol. 2, pp. 377–380</w:t>
            </w:r>
            <w:r w:rsidRPr="009D3A3D">
              <w:rPr>
                <w:rFonts w:ascii="Segoe UI" w:eastAsia="宋体" w:hAnsi="Segoe UI" w:cs="Segoe UI"/>
                <w:color w:val="333333"/>
                <w:kern w:val="0"/>
                <w:sz w:val="18"/>
                <w:szCs w:val="18"/>
              </w:rPr>
              <w:br/>
              <w:t xml:space="preserve">"Fiscal Policy," Michael </w:t>
            </w:r>
            <w:proofErr w:type="spellStart"/>
            <w:r w:rsidRPr="009D3A3D">
              <w:rPr>
                <w:rFonts w:ascii="Segoe UI" w:eastAsia="宋体" w:hAnsi="Segoe UI" w:cs="Segoe UI"/>
                <w:color w:val="333333"/>
                <w:kern w:val="0"/>
                <w:sz w:val="18"/>
                <w:szCs w:val="18"/>
              </w:rPr>
              <w:t>Parkin</w:t>
            </w:r>
            <w:proofErr w:type="spellEnd"/>
            <w:r w:rsidRPr="009D3A3D">
              <w:rPr>
                <w:rFonts w:ascii="Segoe UI" w:eastAsia="宋体" w:hAnsi="Segoe UI" w:cs="Segoe UI"/>
                <w:color w:val="333333"/>
                <w:kern w:val="0"/>
                <w:sz w:val="18"/>
                <w:szCs w:val="18"/>
              </w:rPr>
              <w:br/>
              <w:t>2011 Modular Level I, Vol. 2, pp. 445–446</w:t>
            </w:r>
            <w:r w:rsidRPr="009D3A3D">
              <w:rPr>
                <w:rFonts w:ascii="Segoe UI" w:eastAsia="宋体" w:hAnsi="Segoe UI" w:cs="Segoe UI"/>
                <w:color w:val="333333"/>
                <w:kern w:val="0"/>
                <w:sz w:val="18"/>
                <w:szCs w:val="18"/>
              </w:rPr>
              <w:br/>
              <w:t>Study Sessions 6–24–f, 6–26–d</w:t>
            </w:r>
            <w:r w:rsidRPr="009D3A3D">
              <w:rPr>
                <w:rFonts w:ascii="Segoe UI" w:eastAsia="宋体" w:hAnsi="Segoe UI" w:cs="Segoe UI"/>
                <w:color w:val="333333"/>
                <w:kern w:val="0"/>
                <w:sz w:val="18"/>
                <w:szCs w:val="18"/>
              </w:rPr>
              <w:br/>
              <w:t>Describe the monetary base and explain the relation among the monetary base, the money multiplier, and the quantity of money.</w:t>
            </w:r>
            <w:r w:rsidRPr="009D3A3D">
              <w:rPr>
                <w:rFonts w:ascii="Segoe UI" w:eastAsia="宋体" w:hAnsi="Segoe UI" w:cs="Segoe UI"/>
                <w:color w:val="333333"/>
                <w:kern w:val="0"/>
                <w:sz w:val="18"/>
                <w:szCs w:val="18"/>
              </w:rPr>
              <w:br/>
              <w:t>Discuss the use of fiscal policy to stabilize the economy, including the effects of the government expenditure multiplier, the tax multiplier, and the balanced budget multiplier.</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The balanced budget multiplier and the government expenditure multiplier are part of fiscal policy. The money multiplier is best thought of as part of monetary policy. </w:t>
            </w:r>
          </w:p>
        </w:tc>
      </w:tr>
    </w:tbl>
    <w:p w:rsidR="009D3A3D" w:rsidRDefault="009D3A3D">
      <w:pPr>
        <w:rPr>
          <w:rFonts w:hint="eastAsia"/>
        </w:rPr>
      </w:pPr>
    </w:p>
    <w:tbl>
      <w:tblPr>
        <w:tblW w:w="5000" w:type="pct"/>
        <w:tblCellSpacing w:w="15" w:type="dxa"/>
        <w:tblCellMar>
          <w:top w:w="30" w:type="dxa"/>
          <w:left w:w="30" w:type="dxa"/>
          <w:bottom w:w="30" w:type="dxa"/>
          <w:right w:w="30" w:type="dxa"/>
        </w:tblCellMar>
        <w:tblLook w:val="04A0"/>
      </w:tblPr>
      <w:tblGrid>
        <w:gridCol w:w="420"/>
        <w:gridCol w:w="757"/>
        <w:gridCol w:w="6976"/>
        <w:gridCol w:w="96"/>
        <w:gridCol w:w="96"/>
        <w:gridCol w:w="111"/>
      </w:tblGrid>
      <w:tr w:rsidR="009D3A3D" w:rsidRPr="009D3A3D" w:rsidTr="009D3A3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D3A3D" w:rsidRPr="009D3A3D" w:rsidRDefault="009D3A3D" w:rsidP="009D3A3D">
            <w:pPr>
              <w:widowControl/>
              <w:jc w:val="left"/>
              <w:rPr>
                <w:rFonts w:ascii="Segoe UI" w:eastAsia="宋体" w:hAnsi="Segoe UI" w:cs="Segoe UI"/>
                <w:b/>
                <w:bCs/>
                <w:color w:val="000000"/>
                <w:kern w:val="0"/>
                <w:sz w:val="18"/>
                <w:szCs w:val="18"/>
              </w:rPr>
            </w:pPr>
            <w:r w:rsidRPr="009D3A3D">
              <w:rPr>
                <w:rFonts w:ascii="Segoe UI" w:eastAsia="宋体" w:hAnsi="Segoe UI" w:cs="Segoe UI"/>
                <w:b/>
                <w:bCs/>
                <w:color w:val="000000"/>
                <w:kern w:val="0"/>
                <w:sz w:val="18"/>
                <w:szCs w:val="18"/>
              </w:rPr>
              <w:t>23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xml:space="preserve">Which of the following statements is </w:t>
            </w:r>
            <w:r w:rsidRPr="009D3A3D">
              <w:rPr>
                <w:rFonts w:ascii="Segoe UI" w:eastAsia="宋体" w:hAnsi="Segoe UI" w:cs="Segoe UI"/>
                <w:i/>
                <w:iCs/>
                <w:color w:val="333333"/>
                <w:kern w:val="0"/>
                <w:sz w:val="18"/>
                <w:szCs w:val="18"/>
              </w:rPr>
              <w:t>most accurate</w:t>
            </w:r>
            <w:r w:rsidRPr="009D3A3D">
              <w:rPr>
                <w:rFonts w:ascii="Segoe UI" w:eastAsia="宋体" w:hAnsi="Segoe UI" w:cs="Segoe UI"/>
                <w:color w:val="333333"/>
                <w:kern w:val="0"/>
                <w:sz w:val="18"/>
                <w:szCs w:val="18"/>
              </w:rPr>
              <w:t xml:space="preserve"> about the responsibilities of an auditor for a publicly traded firm in the United States? The auditor:</w:t>
            </w: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63" type="#_x0000_t75" style="width:20.25pt;height:15.75pt" o:ole="">
                  <v:imagedata r:id="rId7" o:title=""/>
                </v:shape>
                <w:control r:id="rId18" w:name="DefaultOcxName5" w:shapeid="_x0000_i10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A.</w:t>
            </w:r>
            <w:r w:rsidRPr="009D3A3D">
              <w:rPr>
                <w:rFonts w:ascii="Segoe UI" w:eastAsia="宋体" w:hAnsi="Segoe UI" w:cs="Segoe UI"/>
                <w:color w:val="000000"/>
                <w:kern w:val="0"/>
                <w:sz w:val="18"/>
                <w:szCs w:val="18"/>
              </w:rPr>
              <w:t xml:space="preserve"> assures the reader that the financial statements are free from error, fraud, or illegal acts.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62" type="#_x0000_t75" style="width:20.25pt;height:15.75pt" o:ole="">
                  <v:imagedata r:id="rId9" o:title=""/>
                </v:shape>
                <w:control r:id="rId19" w:name="DefaultOcxName13" w:shapeid="_x0000_i10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B.</w:t>
            </w:r>
            <w:r w:rsidRPr="009D3A3D">
              <w:rPr>
                <w:rFonts w:ascii="Segoe UI" w:eastAsia="宋体" w:hAnsi="Segoe UI" w:cs="Segoe UI"/>
                <w:color w:val="000000"/>
                <w:kern w:val="0"/>
                <w:sz w:val="18"/>
                <w:szCs w:val="18"/>
              </w:rPr>
              <w:t xml:space="preserve"> must express an opinion about the effectiveness of the company’s internal control systems.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61" type="#_x0000_t75" style="width:20.25pt;height:15.75pt" o:ole="">
                  <v:imagedata r:id="rId9" o:title=""/>
                </v:shape>
                <w:control r:id="rId20" w:name="DefaultOcxName23" w:shapeid="_x0000_i10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C.</w:t>
            </w:r>
            <w:r w:rsidRPr="009D3A3D">
              <w:rPr>
                <w:rFonts w:ascii="Segoe UI" w:eastAsia="宋体" w:hAnsi="Segoe UI" w:cs="Segoe UI"/>
                <w:color w:val="000000"/>
                <w:kern w:val="0"/>
                <w:sz w:val="18"/>
                <w:szCs w:val="18"/>
              </w:rPr>
              <w:t xml:space="preserve"> must state that it has prepared the financial statements according to generally accepted accounting principles.</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0" w:type="auto"/>
            <w:gridSpan w:val="5"/>
            <w:shd w:val="clear" w:color="auto" w:fill="FF6347"/>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b/>
                <w:bCs/>
                <w:color w:val="000080"/>
                <w:kern w:val="0"/>
                <w:sz w:val="16"/>
                <w:szCs w:val="16"/>
              </w:rPr>
              <w:t>Feedback:</w:t>
            </w:r>
            <w:r w:rsidRPr="009D3A3D">
              <w:rPr>
                <w:rFonts w:ascii="Segoe UI" w:eastAsia="宋体" w:hAnsi="Segoe UI" w:cs="Segoe UI"/>
                <w:color w:val="333333"/>
                <w:kern w:val="0"/>
                <w:sz w:val="18"/>
                <w:szCs w:val="18"/>
              </w:rPr>
              <w:t xml:space="preserve"> You have answered incorrectly.</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Correct answer: </w:t>
            </w:r>
            <w:r w:rsidRPr="009D3A3D">
              <w:rPr>
                <w:rFonts w:ascii="Segoe UI" w:eastAsia="宋体" w:hAnsi="Segoe UI" w:cs="Segoe UI"/>
                <w:b/>
                <w:bCs/>
                <w:color w:val="333333"/>
                <w:kern w:val="0"/>
                <w:sz w:val="18"/>
                <w:szCs w:val="18"/>
              </w:rPr>
              <w:t>B</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"Financial Statement Analysis: An Introduction," Thomas R. Robinson, CFA, Jan </w:t>
            </w:r>
            <w:proofErr w:type="spellStart"/>
            <w:r w:rsidRPr="009D3A3D">
              <w:rPr>
                <w:rFonts w:ascii="Segoe UI" w:eastAsia="宋体" w:hAnsi="Segoe UI" w:cs="Segoe UI"/>
                <w:color w:val="333333"/>
                <w:kern w:val="0"/>
                <w:sz w:val="18"/>
                <w:szCs w:val="18"/>
              </w:rPr>
              <w:t>Hendrik</w:t>
            </w:r>
            <w:proofErr w:type="spellEnd"/>
            <w:r w:rsidRPr="009D3A3D">
              <w:rPr>
                <w:rFonts w:ascii="Segoe UI" w:eastAsia="宋体" w:hAnsi="Segoe UI" w:cs="Segoe UI"/>
                <w:color w:val="333333"/>
                <w:kern w:val="0"/>
                <w:sz w:val="18"/>
                <w:szCs w:val="18"/>
              </w:rPr>
              <w:t xml:space="preserve"> van </w:t>
            </w:r>
            <w:proofErr w:type="spellStart"/>
            <w:r w:rsidRPr="009D3A3D">
              <w:rPr>
                <w:rFonts w:ascii="Segoe UI" w:eastAsia="宋体" w:hAnsi="Segoe UI" w:cs="Segoe UI"/>
                <w:color w:val="333333"/>
                <w:kern w:val="0"/>
                <w:sz w:val="18"/>
                <w:szCs w:val="18"/>
              </w:rPr>
              <w:t>Greuning</w:t>
            </w:r>
            <w:proofErr w:type="spellEnd"/>
            <w:r w:rsidRPr="009D3A3D">
              <w:rPr>
                <w:rFonts w:ascii="Segoe UI" w:eastAsia="宋体" w:hAnsi="Segoe UI" w:cs="Segoe UI"/>
                <w:color w:val="333333"/>
                <w:kern w:val="0"/>
                <w:sz w:val="18"/>
                <w:szCs w:val="18"/>
              </w:rPr>
              <w:t xml:space="preserve">, CFA, Elaine Henry, CFA, and Michael A. </w:t>
            </w:r>
            <w:proofErr w:type="spellStart"/>
            <w:r w:rsidRPr="009D3A3D">
              <w:rPr>
                <w:rFonts w:ascii="Segoe UI" w:eastAsia="宋体" w:hAnsi="Segoe UI" w:cs="Segoe UI"/>
                <w:color w:val="333333"/>
                <w:kern w:val="0"/>
                <w:sz w:val="18"/>
                <w:szCs w:val="18"/>
              </w:rPr>
              <w:t>Broihahn</w:t>
            </w:r>
            <w:proofErr w:type="spellEnd"/>
            <w:r w:rsidRPr="009D3A3D">
              <w:rPr>
                <w:rFonts w:ascii="Segoe UI" w:eastAsia="宋体" w:hAnsi="Segoe UI" w:cs="Segoe UI"/>
                <w:color w:val="333333"/>
                <w:kern w:val="0"/>
                <w:sz w:val="18"/>
                <w:szCs w:val="18"/>
              </w:rPr>
              <w:t>, CFA</w:t>
            </w:r>
            <w:r w:rsidRPr="009D3A3D">
              <w:rPr>
                <w:rFonts w:ascii="Segoe UI" w:eastAsia="宋体" w:hAnsi="Segoe UI" w:cs="Segoe UI"/>
                <w:color w:val="333333"/>
                <w:kern w:val="0"/>
                <w:sz w:val="18"/>
                <w:szCs w:val="18"/>
              </w:rPr>
              <w:br/>
              <w:t>2011 Modular Level I, Vol. 3, pp. 18–22</w:t>
            </w:r>
            <w:r w:rsidRPr="009D3A3D">
              <w:rPr>
                <w:rFonts w:ascii="Segoe UI" w:eastAsia="宋体" w:hAnsi="Segoe UI" w:cs="Segoe UI"/>
                <w:color w:val="333333"/>
                <w:kern w:val="0"/>
                <w:sz w:val="18"/>
                <w:szCs w:val="18"/>
              </w:rPr>
              <w:br/>
              <w:t>Study Session 7–29–d</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lastRenderedPageBreak/>
              <w:t>Discuss the objective of audits of financial statements, the types of audit reports, and the importance of effective internal controls.</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For a publicly traded firm in the United States, the auditor must express an opinion as to whether the company's internal control system is in accordance with the Public Accounting Oversight Board, under the Sarbanes-Oxley Act. This is done either as a final paragraph in the Auditor's Report, or as a separate opinion. </w:t>
            </w:r>
          </w:p>
        </w:tc>
      </w:tr>
    </w:tbl>
    <w:p w:rsidR="009D3A3D" w:rsidRDefault="009D3A3D">
      <w:pPr>
        <w:rPr>
          <w:rFonts w:hint="eastAsia"/>
        </w:rPr>
      </w:pPr>
    </w:p>
    <w:tbl>
      <w:tblPr>
        <w:tblW w:w="5000" w:type="pct"/>
        <w:tblCellSpacing w:w="15" w:type="dxa"/>
        <w:tblCellMar>
          <w:top w:w="30" w:type="dxa"/>
          <w:left w:w="30" w:type="dxa"/>
          <w:bottom w:w="30" w:type="dxa"/>
          <w:right w:w="30" w:type="dxa"/>
        </w:tblCellMar>
        <w:tblLook w:val="04A0"/>
      </w:tblPr>
      <w:tblGrid>
        <w:gridCol w:w="420"/>
        <w:gridCol w:w="659"/>
        <w:gridCol w:w="7074"/>
        <w:gridCol w:w="96"/>
        <w:gridCol w:w="96"/>
        <w:gridCol w:w="111"/>
      </w:tblGrid>
      <w:tr w:rsidR="009D3A3D" w:rsidRPr="009D3A3D" w:rsidTr="009D3A3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9D3A3D" w:rsidRPr="009D3A3D" w:rsidRDefault="009D3A3D" w:rsidP="009D3A3D">
            <w:pPr>
              <w:widowControl/>
              <w:jc w:val="left"/>
              <w:rPr>
                <w:rFonts w:ascii="Segoe UI" w:eastAsia="宋体" w:hAnsi="Segoe UI" w:cs="Segoe UI"/>
                <w:b/>
                <w:bCs/>
                <w:color w:val="000000"/>
                <w:kern w:val="0"/>
                <w:sz w:val="18"/>
                <w:szCs w:val="18"/>
              </w:rPr>
            </w:pPr>
            <w:r w:rsidRPr="009D3A3D">
              <w:rPr>
                <w:rFonts w:ascii="Segoe UI" w:eastAsia="宋体" w:hAnsi="Segoe UI" w:cs="Segoe UI"/>
                <w:b/>
                <w:bCs/>
                <w:color w:val="000000"/>
                <w:kern w:val="0"/>
                <w:sz w:val="18"/>
                <w:szCs w:val="18"/>
              </w:rPr>
              <w:t>24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xml:space="preserve">In accrual accounting, if an adjusting entry results in the reduction of an asset and the recording of an expense, the originating entry recorded was </w:t>
            </w:r>
            <w:r w:rsidRPr="009D3A3D">
              <w:rPr>
                <w:rFonts w:ascii="Segoe UI" w:eastAsia="宋体" w:hAnsi="Segoe UI" w:cs="Segoe UI"/>
                <w:i/>
                <w:iCs/>
                <w:color w:val="333333"/>
                <w:kern w:val="0"/>
                <w:sz w:val="18"/>
                <w:szCs w:val="18"/>
              </w:rPr>
              <w:t>most likely</w:t>
            </w:r>
            <w:r w:rsidRPr="009D3A3D">
              <w:rPr>
                <w:rFonts w:ascii="Segoe UI" w:eastAsia="宋体" w:hAnsi="Segoe UI" w:cs="Segoe UI"/>
                <w:color w:val="333333"/>
                <w:kern w:val="0"/>
                <w:sz w:val="18"/>
                <w:szCs w:val="18"/>
              </w:rPr>
              <w:t xml:space="preserve"> a(n):</w:t>
            </w: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72" type="#_x0000_t75" style="width:20.25pt;height:15.75pt" o:ole="">
                  <v:imagedata r:id="rId7" o:title=""/>
                </v:shape>
                <w:control r:id="rId21" w:name="DefaultOcxName6" w:shapeid="_x0000_i10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A.</w:t>
            </w:r>
            <w:r w:rsidRPr="009D3A3D">
              <w:rPr>
                <w:rFonts w:ascii="Segoe UI" w:eastAsia="宋体" w:hAnsi="Segoe UI" w:cs="Segoe UI"/>
                <w:color w:val="000000"/>
                <w:kern w:val="0"/>
                <w:sz w:val="18"/>
                <w:szCs w:val="18"/>
              </w:rPr>
              <w:t xml:space="preserve"> prepaid expense.</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71" type="#_x0000_t75" style="width:20.25pt;height:15.75pt" o:ole="">
                  <v:imagedata r:id="rId9" o:title=""/>
                </v:shape>
                <w:control r:id="rId22" w:name="DefaultOcxName14" w:shapeid="_x0000_i10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B.</w:t>
            </w:r>
            <w:r w:rsidRPr="009D3A3D">
              <w:rPr>
                <w:rFonts w:ascii="Segoe UI" w:eastAsia="宋体" w:hAnsi="Segoe UI" w:cs="Segoe UI"/>
                <w:color w:val="000000"/>
                <w:kern w:val="0"/>
                <w:sz w:val="18"/>
                <w:szCs w:val="18"/>
              </w:rPr>
              <w:t xml:space="preserve"> accrued expense.</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9D3A3D" w:rsidRPr="009D3A3D" w:rsidRDefault="009D3A3D" w:rsidP="009D3A3D">
            <w:pPr>
              <w:widowControl/>
              <w:jc w:val="center"/>
              <w:rPr>
                <w:rFonts w:ascii="Segoe UI" w:eastAsia="宋体" w:hAnsi="Segoe UI" w:cs="Segoe UI"/>
                <w:color w:val="000000"/>
                <w:kern w:val="0"/>
                <w:sz w:val="18"/>
                <w:szCs w:val="18"/>
              </w:rPr>
            </w:pPr>
            <w:r w:rsidRPr="009D3A3D">
              <w:rPr>
                <w:rFonts w:ascii="Segoe UI" w:eastAsia="宋体" w:hAnsi="Segoe UI" w:cs="Segoe UI"/>
                <w:color w:val="000000"/>
                <w:kern w:val="0"/>
                <w:sz w:val="18"/>
                <w:szCs w:val="18"/>
              </w:rPr>
              <w:object w:dxaOrig="1440" w:dyaOrig="1440">
                <v:shape id="_x0000_i1070" type="#_x0000_t75" style="width:20.25pt;height:15.75pt" o:ole="">
                  <v:imagedata r:id="rId9" o:title=""/>
                </v:shape>
                <w:control r:id="rId23" w:name="DefaultOcxName24" w:shapeid="_x0000_i10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9D3A3D" w:rsidRPr="009D3A3D" w:rsidRDefault="009D3A3D" w:rsidP="009D3A3D">
            <w:pPr>
              <w:widowControl/>
              <w:jc w:val="left"/>
              <w:rPr>
                <w:rFonts w:ascii="Segoe UI" w:eastAsia="宋体" w:hAnsi="Segoe UI" w:cs="Segoe UI"/>
                <w:color w:val="000000"/>
                <w:kern w:val="0"/>
                <w:sz w:val="18"/>
                <w:szCs w:val="18"/>
              </w:rPr>
            </w:pPr>
            <w:r w:rsidRPr="009D3A3D">
              <w:rPr>
                <w:rFonts w:ascii="Segoe UI" w:eastAsia="宋体" w:hAnsi="Segoe UI" w:cs="Segoe UI"/>
                <w:b/>
                <w:bCs/>
                <w:color w:val="000000"/>
                <w:kern w:val="0"/>
                <w:sz w:val="18"/>
                <w:szCs w:val="18"/>
              </w:rPr>
              <w:t>C.</w:t>
            </w:r>
            <w:r w:rsidRPr="009D3A3D">
              <w:rPr>
                <w:rFonts w:ascii="Segoe UI" w:eastAsia="宋体" w:hAnsi="Segoe UI" w:cs="Segoe UI"/>
                <w:color w:val="000000"/>
                <w:kern w:val="0"/>
                <w:sz w:val="18"/>
                <w:szCs w:val="18"/>
              </w:rPr>
              <w:t xml:space="preserve"> unearned revenue.</w:t>
            </w: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c>
          <w:tcPr>
            <w:tcW w:w="0" w:type="auto"/>
            <w:vAlign w:val="center"/>
            <w:hideMark/>
          </w:tcPr>
          <w:p w:rsidR="009D3A3D" w:rsidRPr="009D3A3D" w:rsidRDefault="009D3A3D" w:rsidP="009D3A3D">
            <w:pPr>
              <w:widowControl/>
              <w:jc w:val="left"/>
              <w:rPr>
                <w:rFonts w:ascii="Times New Roman" w:eastAsia="Times New Roman" w:hAnsi="Times New Roman" w:cs="Times New Roman"/>
                <w:kern w:val="0"/>
                <w:sz w:val="20"/>
                <w:szCs w:val="20"/>
              </w:rPr>
            </w:pPr>
          </w:p>
        </w:tc>
      </w:tr>
      <w:tr w:rsidR="009D3A3D" w:rsidRPr="009D3A3D" w:rsidTr="009D3A3D">
        <w:trPr>
          <w:trHeight w:val="525"/>
          <w:tblCellSpacing w:w="15" w:type="dxa"/>
        </w:trPr>
        <w:tc>
          <w:tcPr>
            <w:tcW w:w="375" w:type="dxa"/>
            <w:noWrap/>
            <w:vAlign w:val="center"/>
            <w:hideMark/>
          </w:tcPr>
          <w:p w:rsidR="009D3A3D" w:rsidRPr="009D3A3D" w:rsidRDefault="009D3A3D" w:rsidP="009D3A3D">
            <w:pPr>
              <w:widowControl/>
              <w:jc w:val="center"/>
              <w:rPr>
                <w:rFonts w:ascii="Segoe UI" w:eastAsia="宋体" w:hAnsi="Segoe UI" w:cs="Segoe UI"/>
                <w:color w:val="333333"/>
                <w:kern w:val="0"/>
                <w:sz w:val="18"/>
                <w:szCs w:val="18"/>
              </w:rPr>
            </w:pPr>
            <w:r w:rsidRPr="009D3A3D">
              <w:rPr>
                <w:rFonts w:ascii="Segoe UI" w:eastAsia="宋体" w:hAnsi="Segoe UI" w:cs="Segoe UI"/>
                <w:color w:val="333333"/>
                <w:kern w:val="0"/>
                <w:sz w:val="18"/>
                <w:szCs w:val="18"/>
              </w:rPr>
              <w:t> </w:t>
            </w:r>
          </w:p>
        </w:tc>
        <w:tc>
          <w:tcPr>
            <w:tcW w:w="0" w:type="auto"/>
            <w:gridSpan w:val="5"/>
            <w:shd w:val="clear" w:color="auto" w:fill="9ACD32"/>
            <w:vAlign w:val="center"/>
            <w:hideMark/>
          </w:tcPr>
          <w:p w:rsidR="009D3A3D" w:rsidRPr="009D3A3D" w:rsidRDefault="009D3A3D" w:rsidP="009D3A3D">
            <w:pPr>
              <w:widowControl/>
              <w:jc w:val="left"/>
              <w:rPr>
                <w:rFonts w:ascii="Segoe UI" w:eastAsia="宋体" w:hAnsi="Segoe UI" w:cs="Segoe UI"/>
                <w:color w:val="333333"/>
                <w:kern w:val="0"/>
                <w:sz w:val="18"/>
                <w:szCs w:val="18"/>
              </w:rPr>
            </w:pPr>
            <w:r w:rsidRPr="009D3A3D">
              <w:rPr>
                <w:rFonts w:ascii="Segoe UI" w:eastAsia="宋体" w:hAnsi="Segoe UI" w:cs="Segoe UI"/>
                <w:b/>
                <w:bCs/>
                <w:color w:val="000080"/>
                <w:kern w:val="0"/>
                <w:sz w:val="16"/>
                <w:szCs w:val="16"/>
              </w:rPr>
              <w:t>Feedback:</w:t>
            </w:r>
            <w:r w:rsidRPr="009D3A3D">
              <w:rPr>
                <w:rFonts w:ascii="Segoe UI" w:eastAsia="宋体" w:hAnsi="Segoe UI" w:cs="Segoe UI"/>
                <w:color w:val="333333"/>
                <w:kern w:val="0"/>
                <w:sz w:val="18"/>
                <w:szCs w:val="18"/>
              </w:rPr>
              <w:t xml:space="preserve"> You have answered correctly.</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Correct answer: </w:t>
            </w:r>
            <w:r w:rsidRPr="009D3A3D">
              <w:rPr>
                <w:rFonts w:ascii="Segoe UI" w:eastAsia="宋体" w:hAnsi="Segoe UI" w:cs="Segoe UI"/>
                <w:b/>
                <w:bCs/>
                <w:color w:val="333333"/>
                <w:kern w:val="0"/>
                <w:sz w:val="18"/>
                <w:szCs w:val="18"/>
              </w:rPr>
              <w:t>A</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 xml:space="preserve">"Financial Reporting Mechanics," Thomas R. Robinson, CFA, Jan </w:t>
            </w:r>
            <w:proofErr w:type="spellStart"/>
            <w:r w:rsidRPr="009D3A3D">
              <w:rPr>
                <w:rFonts w:ascii="Segoe UI" w:eastAsia="宋体" w:hAnsi="Segoe UI" w:cs="Segoe UI"/>
                <w:color w:val="333333"/>
                <w:kern w:val="0"/>
                <w:sz w:val="18"/>
                <w:szCs w:val="18"/>
              </w:rPr>
              <w:t>Hendrik</w:t>
            </w:r>
            <w:proofErr w:type="spellEnd"/>
            <w:r w:rsidRPr="009D3A3D">
              <w:rPr>
                <w:rFonts w:ascii="Segoe UI" w:eastAsia="宋体" w:hAnsi="Segoe UI" w:cs="Segoe UI"/>
                <w:color w:val="333333"/>
                <w:kern w:val="0"/>
                <w:sz w:val="18"/>
                <w:szCs w:val="18"/>
              </w:rPr>
              <w:t xml:space="preserve"> van </w:t>
            </w:r>
            <w:proofErr w:type="spellStart"/>
            <w:r w:rsidRPr="009D3A3D">
              <w:rPr>
                <w:rFonts w:ascii="Segoe UI" w:eastAsia="宋体" w:hAnsi="Segoe UI" w:cs="Segoe UI"/>
                <w:color w:val="333333"/>
                <w:kern w:val="0"/>
                <w:sz w:val="18"/>
                <w:szCs w:val="18"/>
              </w:rPr>
              <w:t>Greuning</w:t>
            </w:r>
            <w:proofErr w:type="spellEnd"/>
            <w:r w:rsidRPr="009D3A3D">
              <w:rPr>
                <w:rFonts w:ascii="Segoe UI" w:eastAsia="宋体" w:hAnsi="Segoe UI" w:cs="Segoe UI"/>
                <w:color w:val="333333"/>
                <w:kern w:val="0"/>
                <w:sz w:val="18"/>
                <w:szCs w:val="18"/>
              </w:rPr>
              <w:t xml:space="preserve">, CFA, Karen O'Connor </w:t>
            </w:r>
            <w:proofErr w:type="spellStart"/>
            <w:r w:rsidRPr="009D3A3D">
              <w:rPr>
                <w:rFonts w:ascii="Segoe UI" w:eastAsia="宋体" w:hAnsi="Segoe UI" w:cs="Segoe UI"/>
                <w:color w:val="333333"/>
                <w:kern w:val="0"/>
                <w:sz w:val="18"/>
                <w:szCs w:val="18"/>
              </w:rPr>
              <w:t>Rubsam</w:t>
            </w:r>
            <w:proofErr w:type="spellEnd"/>
            <w:r w:rsidRPr="009D3A3D">
              <w:rPr>
                <w:rFonts w:ascii="Segoe UI" w:eastAsia="宋体" w:hAnsi="Segoe UI" w:cs="Segoe UI"/>
                <w:color w:val="333333"/>
                <w:kern w:val="0"/>
                <w:sz w:val="18"/>
                <w:szCs w:val="18"/>
              </w:rPr>
              <w:t xml:space="preserve">, CFA, Elaine Henry, CFA, and Michael A. </w:t>
            </w:r>
            <w:proofErr w:type="spellStart"/>
            <w:r w:rsidRPr="009D3A3D">
              <w:rPr>
                <w:rFonts w:ascii="Segoe UI" w:eastAsia="宋体" w:hAnsi="Segoe UI" w:cs="Segoe UI"/>
                <w:color w:val="333333"/>
                <w:kern w:val="0"/>
                <w:sz w:val="18"/>
                <w:szCs w:val="18"/>
              </w:rPr>
              <w:t>Broihahn</w:t>
            </w:r>
            <w:proofErr w:type="spellEnd"/>
            <w:r w:rsidRPr="009D3A3D">
              <w:rPr>
                <w:rFonts w:ascii="Segoe UI" w:eastAsia="宋体" w:hAnsi="Segoe UI" w:cs="Segoe UI"/>
                <w:color w:val="333333"/>
                <w:kern w:val="0"/>
                <w:sz w:val="18"/>
                <w:szCs w:val="18"/>
              </w:rPr>
              <w:t>, CFA</w:t>
            </w:r>
            <w:r w:rsidRPr="009D3A3D">
              <w:rPr>
                <w:rFonts w:ascii="Segoe UI" w:eastAsia="宋体" w:hAnsi="Segoe UI" w:cs="Segoe UI"/>
                <w:color w:val="333333"/>
                <w:kern w:val="0"/>
                <w:sz w:val="18"/>
                <w:szCs w:val="18"/>
              </w:rPr>
              <w:br/>
              <w:t>2011 Modular Level I, Vol. 3, pp. 63–65</w:t>
            </w:r>
            <w:r w:rsidRPr="009D3A3D">
              <w:rPr>
                <w:rFonts w:ascii="Segoe UI" w:eastAsia="宋体" w:hAnsi="Segoe UI" w:cs="Segoe UI"/>
                <w:color w:val="333333"/>
                <w:kern w:val="0"/>
                <w:sz w:val="18"/>
                <w:szCs w:val="18"/>
              </w:rPr>
              <w:br/>
              <w:t>Study Session 7–30–d</w:t>
            </w:r>
            <w:r w:rsidRPr="009D3A3D">
              <w:rPr>
                <w:rFonts w:ascii="Segoe UI" w:eastAsia="宋体" w:hAnsi="Segoe UI" w:cs="Segoe UI"/>
                <w:color w:val="333333"/>
                <w:kern w:val="0"/>
                <w:sz w:val="18"/>
                <w:szCs w:val="18"/>
              </w:rPr>
              <w:br/>
              <w:t>Explain the need for accruals and other adjustments in preparing financial statements.</w:t>
            </w:r>
            <w:r w:rsidRPr="009D3A3D">
              <w:rPr>
                <w:rFonts w:ascii="Segoe UI" w:eastAsia="宋体" w:hAnsi="Segoe UI" w:cs="Segoe UI"/>
                <w:color w:val="333333"/>
                <w:kern w:val="0"/>
                <w:sz w:val="18"/>
                <w:szCs w:val="18"/>
              </w:rPr>
              <w:br/>
            </w:r>
            <w:r w:rsidRPr="009D3A3D">
              <w:rPr>
                <w:rFonts w:ascii="Segoe UI" w:eastAsia="宋体" w:hAnsi="Segoe UI" w:cs="Segoe UI"/>
                <w:color w:val="333333"/>
                <w:kern w:val="0"/>
                <w:sz w:val="18"/>
                <w:szCs w:val="18"/>
              </w:rPr>
              <w:br/>
              <w:t>The adjusting entry to record the expiry of a prepaid expense is the reduction of an asset (the prepaid) and the recognition of the expense. </w:t>
            </w:r>
          </w:p>
        </w:tc>
      </w:tr>
    </w:tbl>
    <w:p w:rsidR="009D3A3D" w:rsidRDefault="009D3A3D">
      <w:pPr>
        <w:rPr>
          <w:rFonts w:hint="eastAsia"/>
        </w:rPr>
      </w:pPr>
    </w:p>
    <w:tbl>
      <w:tblPr>
        <w:tblW w:w="5000" w:type="pct"/>
        <w:tblCellSpacing w:w="15" w:type="dxa"/>
        <w:tblCellMar>
          <w:top w:w="30" w:type="dxa"/>
          <w:left w:w="30" w:type="dxa"/>
          <w:bottom w:w="30" w:type="dxa"/>
          <w:right w:w="30" w:type="dxa"/>
        </w:tblCellMar>
        <w:tblLook w:val="04A0"/>
      </w:tblPr>
      <w:tblGrid>
        <w:gridCol w:w="420"/>
        <w:gridCol w:w="696"/>
        <w:gridCol w:w="6998"/>
        <w:gridCol w:w="109"/>
        <w:gridCol w:w="109"/>
        <w:gridCol w:w="124"/>
      </w:tblGrid>
      <w:tr w:rsidR="00E822D7" w:rsidRPr="00E822D7" w:rsidTr="00E822D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E822D7" w:rsidRPr="00E822D7" w:rsidRDefault="00E822D7" w:rsidP="00E822D7">
            <w:pPr>
              <w:widowControl/>
              <w:jc w:val="left"/>
              <w:rPr>
                <w:rFonts w:ascii="Segoe UI" w:eastAsia="宋体" w:hAnsi="Segoe UI" w:cs="Segoe UI"/>
                <w:b/>
                <w:bCs/>
                <w:color w:val="000000"/>
                <w:kern w:val="0"/>
                <w:sz w:val="18"/>
                <w:szCs w:val="18"/>
              </w:rPr>
            </w:pPr>
            <w:r w:rsidRPr="00E822D7">
              <w:rPr>
                <w:rFonts w:ascii="Segoe UI" w:eastAsia="宋体" w:hAnsi="Segoe UI" w:cs="Segoe UI"/>
                <w:b/>
                <w:bCs/>
                <w:color w:val="000000"/>
                <w:kern w:val="0"/>
                <w:sz w:val="18"/>
                <w:szCs w:val="18"/>
              </w:rPr>
              <w:t>25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At the beginning of the year, a company had total shareholders’ equity consisting of ¥200,000 in common share capital, and ¥50,000 in retained earnings.</w:t>
            </w:r>
            <w:r w:rsidRPr="00E822D7">
              <w:rPr>
                <w:rFonts w:ascii="Segoe UI" w:eastAsia="宋体" w:hAnsi="Segoe UI" w:cs="Segoe UI"/>
                <w:color w:val="333333"/>
                <w:kern w:val="0"/>
                <w:sz w:val="18"/>
                <w:szCs w:val="18"/>
              </w:rPr>
              <w:br/>
            </w:r>
            <w:r w:rsidRPr="00E822D7">
              <w:rPr>
                <w:rFonts w:ascii="Segoe UI" w:eastAsia="宋体" w:hAnsi="Segoe UI" w:cs="Segoe UI"/>
                <w:color w:val="333333"/>
                <w:kern w:val="0"/>
                <w:sz w:val="18"/>
                <w:szCs w:val="18"/>
              </w:rPr>
              <w:br/>
              <w:t>During the year, the following events occurred:</w:t>
            </w:r>
            <w:r w:rsidRPr="00E822D7">
              <w:rPr>
                <w:rFonts w:ascii="Segoe UI" w:eastAsia="宋体" w:hAnsi="Segoe UI" w:cs="Segoe UI"/>
                <w:color w:val="333333"/>
                <w:kern w:val="0"/>
                <w:sz w:val="18"/>
                <w:szCs w:val="18"/>
              </w:rPr>
              <w:br/>
            </w:r>
            <w:r w:rsidRPr="00E822D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2"/>
              <w:gridCol w:w="1333"/>
            </w:tblGrid>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b/>
                      <w:bCs/>
                      <w:color w:val="333333"/>
                      <w:kern w:val="0"/>
                      <w:sz w:val="18"/>
                      <w:szCs w:val="18"/>
                    </w:rPr>
                    <w:t>¥</w:t>
                  </w:r>
                </w:p>
              </w:tc>
            </w:tr>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1. Net income reported</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42,000</w:t>
                  </w:r>
                </w:p>
              </w:tc>
            </w:tr>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2. Dividend paid</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7,000</w:t>
                  </w:r>
                </w:p>
              </w:tc>
            </w:tr>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3. Realized loss on available-for-sale investments</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3,000</w:t>
                  </w:r>
                </w:p>
              </w:tc>
            </w:tr>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4. Foreign currency translation gain on foreign subsidiaries</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8,000</w:t>
                  </w:r>
                </w:p>
              </w:tc>
            </w:tr>
            <w:tr w:rsidR="00E822D7" w:rsidRPr="00E822D7">
              <w:trPr>
                <w:tblCellSpacing w:w="15" w:type="dxa"/>
              </w:trPr>
              <w:tc>
                <w:tcPr>
                  <w:tcW w:w="583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lastRenderedPageBreak/>
                    <w:t>5. Repurchase of company stock, to be held as Treasury stock</w:t>
                  </w:r>
                </w:p>
              </w:tc>
              <w:tc>
                <w:tcPr>
                  <w:tcW w:w="115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6,000</w:t>
                  </w:r>
                </w:p>
              </w:tc>
            </w:tr>
          </w:tbl>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br/>
              <w:t xml:space="preserve">The total shareholders’ equity at the end of the year is </w:t>
            </w:r>
            <w:r w:rsidRPr="00E822D7">
              <w:rPr>
                <w:rFonts w:ascii="Segoe UI" w:eastAsia="宋体" w:hAnsi="Segoe UI" w:cs="Segoe UI"/>
                <w:i/>
                <w:iCs/>
                <w:color w:val="333333"/>
                <w:kern w:val="0"/>
                <w:sz w:val="18"/>
                <w:szCs w:val="18"/>
              </w:rPr>
              <w:t>closest</w:t>
            </w:r>
            <w:r w:rsidRPr="00E822D7">
              <w:rPr>
                <w:rFonts w:ascii="Segoe UI" w:eastAsia="宋体" w:hAnsi="Segoe UI" w:cs="Segoe UI"/>
                <w:color w:val="333333"/>
                <w:kern w:val="0"/>
                <w:sz w:val="18"/>
                <w:szCs w:val="18"/>
              </w:rPr>
              <w:t xml:space="preserve"> to:</w:t>
            </w:r>
          </w:p>
        </w:tc>
      </w:tr>
      <w:tr w:rsidR="00E822D7" w:rsidRPr="00E822D7" w:rsidTr="00E822D7">
        <w:trPr>
          <w:trHeight w:val="525"/>
          <w:tblCellSpacing w:w="15" w:type="dxa"/>
        </w:trPr>
        <w:tc>
          <w:tcPr>
            <w:tcW w:w="375" w:type="dxa"/>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822D7" w:rsidRPr="00E822D7" w:rsidRDefault="00E822D7" w:rsidP="00E822D7">
            <w:pPr>
              <w:widowControl/>
              <w:jc w:val="center"/>
              <w:rPr>
                <w:rFonts w:ascii="Segoe UI" w:eastAsia="宋体" w:hAnsi="Segoe UI" w:cs="Segoe UI"/>
                <w:color w:val="000000"/>
                <w:kern w:val="0"/>
                <w:sz w:val="18"/>
                <w:szCs w:val="18"/>
              </w:rPr>
            </w:pPr>
            <w:r w:rsidRPr="00E822D7">
              <w:rPr>
                <w:rFonts w:ascii="Segoe UI" w:eastAsia="宋体" w:hAnsi="Segoe UI" w:cs="Segoe UI"/>
                <w:color w:val="000000"/>
                <w:kern w:val="0"/>
                <w:sz w:val="18"/>
                <w:szCs w:val="18"/>
              </w:rPr>
              <w:object w:dxaOrig="1440" w:dyaOrig="1440">
                <v:shape id="_x0000_i1081" type="#_x0000_t75" style="width:20.25pt;height:15.75pt" o:ole="">
                  <v:imagedata r:id="rId7" o:title=""/>
                </v:shape>
                <w:control r:id="rId24" w:name="DefaultOcxName7" w:shapeid="_x0000_i10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822D7" w:rsidRPr="00E822D7" w:rsidRDefault="00E822D7" w:rsidP="00E822D7">
            <w:pPr>
              <w:widowControl/>
              <w:jc w:val="left"/>
              <w:rPr>
                <w:rFonts w:ascii="Segoe UI" w:eastAsia="宋体" w:hAnsi="Segoe UI" w:cs="Segoe UI"/>
                <w:color w:val="000000"/>
                <w:kern w:val="0"/>
                <w:sz w:val="18"/>
                <w:szCs w:val="18"/>
              </w:rPr>
            </w:pPr>
            <w:r w:rsidRPr="00E822D7">
              <w:rPr>
                <w:rFonts w:ascii="Segoe UI" w:eastAsia="宋体" w:hAnsi="Segoe UI" w:cs="Segoe UI"/>
                <w:b/>
                <w:bCs/>
                <w:color w:val="000000"/>
                <w:kern w:val="0"/>
                <w:sz w:val="18"/>
                <w:szCs w:val="18"/>
              </w:rPr>
              <w:t>A.</w:t>
            </w:r>
            <w:r w:rsidRPr="00E822D7">
              <w:rPr>
                <w:rFonts w:ascii="Segoe UI" w:eastAsia="宋体" w:hAnsi="Segoe UI" w:cs="Segoe UI"/>
                <w:color w:val="000000"/>
                <w:kern w:val="0"/>
                <w:sz w:val="18"/>
                <w:szCs w:val="18"/>
              </w:rPr>
              <w:t xml:space="preserve"> ¥268,000.</w:t>
            </w: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r>
      <w:tr w:rsidR="00E822D7" w:rsidRPr="00E822D7" w:rsidTr="00E822D7">
        <w:trPr>
          <w:trHeight w:val="525"/>
          <w:tblCellSpacing w:w="15" w:type="dxa"/>
        </w:trPr>
        <w:tc>
          <w:tcPr>
            <w:tcW w:w="375" w:type="dxa"/>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822D7" w:rsidRPr="00E822D7" w:rsidRDefault="00E822D7" w:rsidP="00E822D7">
            <w:pPr>
              <w:widowControl/>
              <w:jc w:val="center"/>
              <w:rPr>
                <w:rFonts w:ascii="Segoe UI" w:eastAsia="宋体" w:hAnsi="Segoe UI" w:cs="Segoe UI"/>
                <w:color w:val="000000"/>
                <w:kern w:val="0"/>
                <w:sz w:val="18"/>
                <w:szCs w:val="18"/>
              </w:rPr>
            </w:pPr>
            <w:r w:rsidRPr="00E822D7">
              <w:rPr>
                <w:rFonts w:ascii="Segoe UI" w:eastAsia="宋体" w:hAnsi="Segoe UI" w:cs="Segoe UI"/>
                <w:color w:val="000000"/>
                <w:kern w:val="0"/>
                <w:sz w:val="18"/>
                <w:szCs w:val="18"/>
              </w:rPr>
              <w:object w:dxaOrig="1440" w:dyaOrig="1440">
                <v:shape id="_x0000_i1080" type="#_x0000_t75" style="width:20.25pt;height:15.75pt" o:ole="">
                  <v:imagedata r:id="rId9" o:title=""/>
                </v:shape>
                <w:control r:id="rId25" w:name="DefaultOcxName15" w:shapeid="_x0000_i10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822D7" w:rsidRPr="00E822D7" w:rsidRDefault="00E822D7" w:rsidP="00E822D7">
            <w:pPr>
              <w:widowControl/>
              <w:jc w:val="left"/>
              <w:rPr>
                <w:rFonts w:ascii="Segoe UI" w:eastAsia="宋体" w:hAnsi="Segoe UI" w:cs="Segoe UI"/>
                <w:color w:val="000000"/>
                <w:kern w:val="0"/>
                <w:sz w:val="18"/>
                <w:szCs w:val="18"/>
              </w:rPr>
            </w:pPr>
            <w:r w:rsidRPr="00E822D7">
              <w:rPr>
                <w:rFonts w:ascii="Segoe UI" w:eastAsia="宋体" w:hAnsi="Segoe UI" w:cs="Segoe UI"/>
                <w:b/>
                <w:bCs/>
                <w:color w:val="000000"/>
                <w:kern w:val="0"/>
                <w:sz w:val="18"/>
                <w:szCs w:val="18"/>
              </w:rPr>
              <w:t>B.</w:t>
            </w:r>
            <w:r w:rsidRPr="00E822D7">
              <w:rPr>
                <w:rFonts w:ascii="Segoe UI" w:eastAsia="宋体" w:hAnsi="Segoe UI" w:cs="Segoe UI"/>
                <w:color w:val="000000"/>
                <w:kern w:val="0"/>
                <w:sz w:val="18"/>
                <w:szCs w:val="18"/>
              </w:rPr>
              <w:t xml:space="preserve"> ¥284,000.</w:t>
            </w: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r>
      <w:tr w:rsidR="00E822D7" w:rsidRPr="00E822D7" w:rsidTr="00E822D7">
        <w:trPr>
          <w:trHeight w:val="525"/>
          <w:tblCellSpacing w:w="15" w:type="dxa"/>
        </w:trPr>
        <w:tc>
          <w:tcPr>
            <w:tcW w:w="375" w:type="dxa"/>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822D7" w:rsidRPr="00E822D7" w:rsidRDefault="00E822D7" w:rsidP="00E822D7">
            <w:pPr>
              <w:widowControl/>
              <w:jc w:val="center"/>
              <w:rPr>
                <w:rFonts w:ascii="Segoe UI" w:eastAsia="宋体" w:hAnsi="Segoe UI" w:cs="Segoe UI"/>
                <w:color w:val="000000"/>
                <w:kern w:val="0"/>
                <w:sz w:val="18"/>
                <w:szCs w:val="18"/>
              </w:rPr>
            </w:pPr>
            <w:r w:rsidRPr="00E822D7">
              <w:rPr>
                <w:rFonts w:ascii="Segoe UI" w:eastAsia="宋体" w:hAnsi="Segoe UI" w:cs="Segoe UI"/>
                <w:color w:val="000000"/>
                <w:kern w:val="0"/>
                <w:sz w:val="18"/>
                <w:szCs w:val="18"/>
              </w:rPr>
              <w:object w:dxaOrig="1440" w:dyaOrig="1440">
                <v:shape id="_x0000_i1079" type="#_x0000_t75" style="width:20.25pt;height:15.75pt" o:ole="">
                  <v:imagedata r:id="rId9" o:title=""/>
                </v:shape>
                <w:control r:id="rId26" w:name="DefaultOcxName25" w:shapeid="_x0000_i10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822D7" w:rsidRPr="00E822D7" w:rsidRDefault="00E822D7" w:rsidP="00E822D7">
            <w:pPr>
              <w:widowControl/>
              <w:jc w:val="left"/>
              <w:rPr>
                <w:rFonts w:ascii="Segoe UI" w:eastAsia="宋体" w:hAnsi="Segoe UI" w:cs="Segoe UI"/>
                <w:color w:val="000000"/>
                <w:kern w:val="0"/>
                <w:sz w:val="18"/>
                <w:szCs w:val="18"/>
              </w:rPr>
            </w:pPr>
            <w:r w:rsidRPr="00E822D7">
              <w:rPr>
                <w:rFonts w:ascii="Segoe UI" w:eastAsia="宋体" w:hAnsi="Segoe UI" w:cs="Segoe UI"/>
                <w:b/>
                <w:bCs/>
                <w:color w:val="000000"/>
                <w:kern w:val="0"/>
                <w:sz w:val="18"/>
                <w:szCs w:val="18"/>
              </w:rPr>
              <w:t>C.</w:t>
            </w:r>
            <w:r w:rsidRPr="00E822D7">
              <w:rPr>
                <w:rFonts w:ascii="Segoe UI" w:eastAsia="宋体" w:hAnsi="Segoe UI" w:cs="Segoe UI"/>
                <w:color w:val="000000"/>
                <w:kern w:val="0"/>
                <w:sz w:val="18"/>
                <w:szCs w:val="18"/>
              </w:rPr>
              <w:t xml:space="preserve"> ¥287,000.</w:t>
            </w: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c>
          <w:tcPr>
            <w:tcW w:w="0" w:type="auto"/>
            <w:vAlign w:val="center"/>
            <w:hideMark/>
          </w:tcPr>
          <w:p w:rsidR="00E822D7" w:rsidRPr="00E822D7" w:rsidRDefault="00E822D7" w:rsidP="00E822D7">
            <w:pPr>
              <w:widowControl/>
              <w:jc w:val="left"/>
              <w:rPr>
                <w:rFonts w:ascii="Times New Roman" w:eastAsia="Times New Roman" w:hAnsi="Times New Roman" w:cs="Times New Roman"/>
                <w:kern w:val="0"/>
                <w:sz w:val="20"/>
                <w:szCs w:val="20"/>
              </w:rPr>
            </w:pPr>
          </w:p>
        </w:tc>
      </w:tr>
      <w:tr w:rsidR="00E822D7" w:rsidRPr="00E822D7" w:rsidTr="00E822D7">
        <w:trPr>
          <w:trHeight w:val="525"/>
          <w:tblCellSpacing w:w="15" w:type="dxa"/>
        </w:trPr>
        <w:tc>
          <w:tcPr>
            <w:tcW w:w="375" w:type="dxa"/>
            <w:noWrap/>
            <w:vAlign w:val="center"/>
            <w:hideMark/>
          </w:tcPr>
          <w:p w:rsidR="00E822D7" w:rsidRPr="00E822D7" w:rsidRDefault="00E822D7" w:rsidP="00E822D7">
            <w:pPr>
              <w:widowControl/>
              <w:jc w:val="center"/>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0" w:type="auto"/>
            <w:gridSpan w:val="5"/>
            <w:shd w:val="clear" w:color="auto" w:fill="FF6347"/>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b/>
                <w:bCs/>
                <w:color w:val="000080"/>
                <w:kern w:val="0"/>
                <w:sz w:val="16"/>
                <w:szCs w:val="16"/>
              </w:rPr>
              <w:t>Feedback:</w:t>
            </w:r>
            <w:r w:rsidRPr="00E822D7">
              <w:rPr>
                <w:rFonts w:ascii="Segoe UI" w:eastAsia="宋体" w:hAnsi="Segoe UI" w:cs="Segoe UI"/>
                <w:color w:val="333333"/>
                <w:kern w:val="0"/>
                <w:sz w:val="18"/>
                <w:szCs w:val="18"/>
              </w:rPr>
              <w:t xml:space="preserve"> You have answered incorrectly.</w:t>
            </w:r>
            <w:r w:rsidRPr="00E822D7">
              <w:rPr>
                <w:rFonts w:ascii="Segoe UI" w:eastAsia="宋体" w:hAnsi="Segoe UI" w:cs="Segoe UI"/>
                <w:color w:val="333333"/>
                <w:kern w:val="0"/>
                <w:sz w:val="18"/>
                <w:szCs w:val="18"/>
              </w:rPr>
              <w:br/>
            </w:r>
            <w:r w:rsidRPr="00E822D7">
              <w:rPr>
                <w:rFonts w:ascii="Segoe UI" w:eastAsia="宋体" w:hAnsi="Segoe UI" w:cs="Segoe UI"/>
                <w:color w:val="333333"/>
                <w:kern w:val="0"/>
                <w:sz w:val="18"/>
                <w:szCs w:val="18"/>
              </w:rPr>
              <w:br/>
              <w:t xml:space="preserve">Correct answer: </w:t>
            </w:r>
            <w:r w:rsidRPr="00E822D7">
              <w:rPr>
                <w:rFonts w:ascii="Segoe UI" w:eastAsia="宋体" w:hAnsi="Segoe UI" w:cs="Segoe UI"/>
                <w:b/>
                <w:bCs/>
                <w:color w:val="333333"/>
                <w:kern w:val="0"/>
                <w:sz w:val="18"/>
                <w:szCs w:val="18"/>
              </w:rPr>
              <w:t>C</w:t>
            </w:r>
            <w:r w:rsidRPr="00E822D7">
              <w:rPr>
                <w:rFonts w:ascii="Segoe UI" w:eastAsia="宋体" w:hAnsi="Segoe UI" w:cs="Segoe UI"/>
                <w:color w:val="333333"/>
                <w:kern w:val="0"/>
                <w:sz w:val="18"/>
                <w:szCs w:val="18"/>
              </w:rPr>
              <w:br/>
            </w:r>
            <w:r w:rsidRPr="00E822D7">
              <w:rPr>
                <w:rFonts w:ascii="Segoe UI" w:eastAsia="宋体" w:hAnsi="Segoe UI" w:cs="Segoe UI"/>
                <w:color w:val="333333"/>
                <w:kern w:val="0"/>
                <w:sz w:val="18"/>
                <w:szCs w:val="18"/>
              </w:rPr>
              <w:br/>
              <w:t xml:space="preserve">"Understanding the Balance Sheet," Thomas R. Robinson, CFA, Jan </w:t>
            </w:r>
            <w:proofErr w:type="spellStart"/>
            <w:r w:rsidRPr="00E822D7">
              <w:rPr>
                <w:rFonts w:ascii="Segoe UI" w:eastAsia="宋体" w:hAnsi="Segoe UI" w:cs="Segoe UI"/>
                <w:color w:val="333333"/>
                <w:kern w:val="0"/>
                <w:sz w:val="18"/>
                <w:szCs w:val="18"/>
              </w:rPr>
              <w:t>Hendrik</w:t>
            </w:r>
            <w:proofErr w:type="spellEnd"/>
            <w:r w:rsidRPr="00E822D7">
              <w:rPr>
                <w:rFonts w:ascii="Segoe UI" w:eastAsia="宋体" w:hAnsi="Segoe UI" w:cs="Segoe UI"/>
                <w:color w:val="333333"/>
                <w:kern w:val="0"/>
                <w:sz w:val="18"/>
                <w:szCs w:val="18"/>
              </w:rPr>
              <w:t xml:space="preserve"> van </w:t>
            </w:r>
            <w:proofErr w:type="spellStart"/>
            <w:r w:rsidRPr="00E822D7">
              <w:rPr>
                <w:rFonts w:ascii="Segoe UI" w:eastAsia="宋体" w:hAnsi="Segoe UI" w:cs="Segoe UI"/>
                <w:color w:val="333333"/>
                <w:kern w:val="0"/>
                <w:sz w:val="18"/>
                <w:szCs w:val="18"/>
              </w:rPr>
              <w:t>Greuning</w:t>
            </w:r>
            <w:proofErr w:type="spellEnd"/>
            <w:r w:rsidRPr="00E822D7">
              <w:rPr>
                <w:rFonts w:ascii="Segoe UI" w:eastAsia="宋体" w:hAnsi="Segoe UI" w:cs="Segoe UI"/>
                <w:color w:val="333333"/>
                <w:kern w:val="0"/>
                <w:sz w:val="18"/>
                <w:szCs w:val="18"/>
              </w:rPr>
              <w:t xml:space="preserve">, CFA, Elaine Henry, CFA, and Michael A. </w:t>
            </w:r>
            <w:proofErr w:type="spellStart"/>
            <w:r w:rsidRPr="00E822D7">
              <w:rPr>
                <w:rFonts w:ascii="Segoe UI" w:eastAsia="宋体" w:hAnsi="Segoe UI" w:cs="Segoe UI"/>
                <w:color w:val="333333"/>
                <w:kern w:val="0"/>
                <w:sz w:val="18"/>
                <w:szCs w:val="18"/>
              </w:rPr>
              <w:t>Broihahn</w:t>
            </w:r>
            <w:proofErr w:type="spellEnd"/>
            <w:r w:rsidRPr="00E822D7">
              <w:rPr>
                <w:rFonts w:ascii="Segoe UI" w:eastAsia="宋体" w:hAnsi="Segoe UI" w:cs="Segoe UI"/>
                <w:color w:val="333333"/>
                <w:kern w:val="0"/>
                <w:sz w:val="18"/>
                <w:szCs w:val="18"/>
              </w:rPr>
              <w:t>, CFA</w:t>
            </w:r>
            <w:r w:rsidRPr="00E822D7">
              <w:rPr>
                <w:rFonts w:ascii="Segoe UI" w:eastAsia="宋体" w:hAnsi="Segoe UI" w:cs="Segoe UI"/>
                <w:color w:val="333333"/>
                <w:kern w:val="0"/>
                <w:sz w:val="18"/>
                <w:szCs w:val="18"/>
              </w:rPr>
              <w:br/>
              <w:t>2011 Modular Level I, Vol. 3, pp. 223–230</w:t>
            </w:r>
            <w:r w:rsidRPr="00E822D7">
              <w:rPr>
                <w:rFonts w:ascii="Segoe UI" w:eastAsia="宋体" w:hAnsi="Segoe UI" w:cs="Segoe UI"/>
                <w:color w:val="333333"/>
                <w:kern w:val="0"/>
                <w:sz w:val="18"/>
                <w:szCs w:val="18"/>
              </w:rPr>
              <w:br/>
              <w:t>Study Session 8–33–f, g</w:t>
            </w:r>
            <w:r w:rsidRPr="00E822D7">
              <w:rPr>
                <w:rFonts w:ascii="Segoe UI" w:eastAsia="宋体" w:hAnsi="Segoe UI" w:cs="Segoe UI"/>
                <w:color w:val="333333"/>
                <w:kern w:val="0"/>
                <w:sz w:val="18"/>
                <w:szCs w:val="18"/>
              </w:rPr>
              <w:br/>
              <w:t>Demonstrate the appropriate classifications and related accounting treatments for marketable and nonmarketable financial instruments held as assets or owed by the company as liabilities.</w:t>
            </w:r>
            <w:r w:rsidRPr="00E822D7">
              <w:rPr>
                <w:rFonts w:ascii="Segoe UI" w:eastAsia="宋体" w:hAnsi="Segoe UI" w:cs="Segoe UI"/>
                <w:color w:val="333333"/>
                <w:kern w:val="0"/>
                <w:sz w:val="18"/>
                <w:szCs w:val="18"/>
              </w:rPr>
              <w:br/>
              <w:t>List and explain the components of owners' equity.</w:t>
            </w:r>
            <w:r w:rsidRPr="00E822D7">
              <w:rPr>
                <w:rFonts w:ascii="Segoe UI" w:eastAsia="宋体" w:hAnsi="Segoe UI" w:cs="Segoe UI"/>
                <w:color w:val="333333"/>
                <w:kern w:val="0"/>
                <w:sz w:val="18"/>
                <w:szCs w:val="18"/>
              </w:rPr>
              <w:br/>
            </w:r>
            <w:r w:rsidRPr="00E822D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25"/>
              <w:gridCol w:w="1346"/>
              <w:gridCol w:w="1544"/>
            </w:tblGrid>
            <w:tr w:rsidR="00E822D7" w:rsidRPr="00E822D7">
              <w:trPr>
                <w:tblCellSpacing w:w="15" w:type="dxa"/>
              </w:trPr>
              <w:tc>
                <w:tcPr>
                  <w:tcW w:w="7080" w:type="dxa"/>
                  <w:gridSpan w:val="3"/>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spacing w:before="225" w:after="225" w:line="300" w:lineRule="auto"/>
                    <w:ind w:left="225" w:right="225"/>
                    <w:jc w:val="center"/>
                    <w:rPr>
                      <w:rFonts w:ascii="Segoe UI" w:eastAsia="宋体" w:hAnsi="Segoe UI" w:cs="Segoe UI"/>
                      <w:color w:val="333333"/>
                      <w:kern w:val="0"/>
                      <w:sz w:val="18"/>
                      <w:szCs w:val="18"/>
                    </w:rPr>
                  </w:pPr>
                  <w:r w:rsidRPr="00E822D7">
                    <w:rPr>
                      <w:rFonts w:ascii="Segoe UI" w:eastAsia="宋体" w:hAnsi="Segoe UI" w:cs="Segoe UI"/>
                      <w:b/>
                      <w:bCs/>
                      <w:color w:val="333333"/>
                      <w:kern w:val="0"/>
                      <w:sz w:val="18"/>
                      <w:szCs w:val="18"/>
                    </w:rPr>
                    <w:t>Shareholders' Equity (¥)</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Start-of-year share capital</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200,000</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Less Treasury stock</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(6,000)</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Beginning retained earnings</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50,000</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Plus net income</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42,000</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Less dividends paid</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u w:val="single"/>
                    </w:rPr>
                    <w:t>(7,000)</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Ending retained earnings</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85,000</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85,000</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Accumulated other comprehensive income</w:t>
                  </w:r>
                  <w:r w:rsidRPr="00E822D7">
                    <w:rPr>
                      <w:rFonts w:ascii="Segoe UI" w:eastAsia="宋体" w:hAnsi="Segoe UI" w:cs="Segoe UI"/>
                      <w:color w:val="333333"/>
                      <w:kern w:val="0"/>
                      <w:sz w:val="18"/>
                      <w:szCs w:val="18"/>
                    </w:rPr>
                    <w:br/>
                    <w:t>   Foreign currency translation adjustment gain</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1320" w:type="dxa"/>
                  <w:tcBorders>
                    <w:top w:val="outset" w:sz="6" w:space="0" w:color="auto"/>
                    <w:left w:val="outset" w:sz="6" w:space="0" w:color="auto"/>
                    <w:bottom w:val="outset" w:sz="6" w:space="0" w:color="auto"/>
                    <w:right w:val="outset" w:sz="6" w:space="0" w:color="auto"/>
                  </w:tcBorders>
                  <w:vAlign w:val="bottom"/>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u w:val="single"/>
                    </w:rPr>
                    <w:t>$8,000</w:t>
                  </w:r>
                </w:p>
              </w:tc>
            </w:tr>
            <w:tr w:rsidR="00E822D7" w:rsidRPr="00E822D7">
              <w:trPr>
                <w:tblCellSpacing w:w="15" w:type="dxa"/>
              </w:trPr>
              <w:tc>
                <w:tcPr>
                  <w:tcW w:w="44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End-of-year shareholders' equity</w:t>
                  </w:r>
                </w:p>
              </w:tc>
              <w:tc>
                <w:tcPr>
                  <w:tcW w:w="1185"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right"/>
                    <w:rPr>
                      <w:rFonts w:ascii="Segoe UI" w:eastAsia="宋体" w:hAnsi="Segoe UI" w:cs="Segoe UI"/>
                      <w:color w:val="333333"/>
                      <w:kern w:val="0"/>
                      <w:sz w:val="18"/>
                      <w:szCs w:val="18"/>
                    </w:rPr>
                  </w:pPr>
                  <w:r w:rsidRPr="00E822D7">
                    <w:rPr>
                      <w:rFonts w:ascii="Segoe UI" w:eastAsia="宋体" w:hAnsi="Segoe UI" w:cs="Segoe UI"/>
                      <w:b/>
                      <w:bCs/>
                      <w:color w:val="333333"/>
                      <w:kern w:val="0"/>
                      <w:sz w:val="18"/>
                      <w:szCs w:val="18"/>
                      <w:u w:val="single"/>
                    </w:rPr>
                    <w:t>287,000</w:t>
                  </w:r>
                </w:p>
              </w:tc>
            </w:tr>
            <w:tr w:rsidR="00E822D7" w:rsidRPr="00E822D7">
              <w:trPr>
                <w:tblCellSpacing w:w="15" w:type="dxa"/>
              </w:trPr>
              <w:tc>
                <w:tcPr>
                  <w:tcW w:w="6990" w:type="dxa"/>
                  <w:gridSpan w:val="3"/>
                  <w:tcBorders>
                    <w:top w:val="outset" w:sz="6" w:space="0" w:color="auto"/>
                    <w:left w:val="outset" w:sz="6" w:space="0" w:color="auto"/>
                    <w:bottom w:val="outset" w:sz="6" w:space="0" w:color="auto"/>
                    <w:right w:val="outset" w:sz="6" w:space="0" w:color="auto"/>
                  </w:tcBorders>
                  <w:vAlign w:val="center"/>
                  <w:hideMark/>
                </w:tcPr>
                <w:p w:rsidR="00E822D7" w:rsidRPr="00E822D7" w:rsidRDefault="00E822D7" w:rsidP="00E822D7">
                  <w:pPr>
                    <w:widowControl/>
                    <w:jc w:val="left"/>
                    <w:rPr>
                      <w:rFonts w:ascii="Segoe UI" w:eastAsia="宋体" w:hAnsi="Segoe UI" w:cs="Segoe UI"/>
                      <w:color w:val="333333"/>
                      <w:kern w:val="0"/>
                      <w:sz w:val="18"/>
                      <w:szCs w:val="18"/>
                    </w:rPr>
                  </w:pPr>
                  <w:r w:rsidRPr="00E822D7">
                    <w:rPr>
                      <w:rFonts w:ascii="Segoe UI" w:eastAsia="宋体" w:hAnsi="Segoe UI" w:cs="Segoe UI"/>
                      <w:color w:val="333333"/>
                      <w:kern w:val="0"/>
                      <w:sz w:val="18"/>
                      <w:szCs w:val="18"/>
                    </w:rPr>
                    <w:t>The realized loss on the available-for-sale investments is already accounted for in net income.</w:t>
                  </w:r>
                </w:p>
              </w:tc>
            </w:tr>
          </w:tbl>
          <w:p w:rsidR="00E822D7" w:rsidRPr="00E822D7" w:rsidRDefault="00E822D7" w:rsidP="00E822D7">
            <w:pPr>
              <w:widowControl/>
              <w:jc w:val="center"/>
              <w:rPr>
                <w:rFonts w:ascii="Segoe UI" w:eastAsia="宋体" w:hAnsi="Segoe UI" w:cs="Segoe UI"/>
                <w:color w:val="333333"/>
                <w:kern w:val="0"/>
                <w:sz w:val="18"/>
                <w:szCs w:val="18"/>
              </w:rPr>
            </w:pPr>
          </w:p>
        </w:tc>
      </w:tr>
    </w:tbl>
    <w:p w:rsidR="00E822D7" w:rsidRDefault="00E822D7">
      <w:pPr>
        <w:rPr>
          <w:rFonts w:hint="eastAsia"/>
        </w:rPr>
      </w:pPr>
    </w:p>
    <w:tbl>
      <w:tblPr>
        <w:tblW w:w="5000" w:type="pct"/>
        <w:tblCellSpacing w:w="15" w:type="dxa"/>
        <w:tblCellMar>
          <w:top w:w="30" w:type="dxa"/>
          <w:left w:w="30" w:type="dxa"/>
          <w:bottom w:w="30" w:type="dxa"/>
          <w:right w:w="30" w:type="dxa"/>
        </w:tblCellMar>
        <w:tblLook w:val="04A0"/>
      </w:tblPr>
      <w:tblGrid>
        <w:gridCol w:w="420"/>
        <w:gridCol w:w="648"/>
        <w:gridCol w:w="7085"/>
        <w:gridCol w:w="96"/>
        <w:gridCol w:w="96"/>
        <w:gridCol w:w="111"/>
      </w:tblGrid>
      <w:tr w:rsidR="00363A5E" w:rsidRPr="00363A5E" w:rsidTr="00363A5E">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363A5E" w:rsidRPr="00363A5E" w:rsidRDefault="00363A5E" w:rsidP="00363A5E">
            <w:pPr>
              <w:widowControl/>
              <w:jc w:val="left"/>
              <w:rPr>
                <w:rFonts w:ascii="Segoe UI" w:eastAsia="宋体" w:hAnsi="Segoe UI" w:cs="Segoe UI"/>
                <w:b/>
                <w:bCs/>
                <w:color w:val="000000"/>
                <w:kern w:val="0"/>
                <w:sz w:val="18"/>
                <w:szCs w:val="18"/>
              </w:rPr>
            </w:pPr>
            <w:r w:rsidRPr="00363A5E">
              <w:rPr>
                <w:rFonts w:ascii="Segoe UI" w:eastAsia="宋体" w:hAnsi="Segoe UI" w:cs="Segoe UI"/>
                <w:b/>
                <w:bCs/>
                <w:color w:val="000000"/>
                <w:kern w:val="0"/>
                <w:sz w:val="18"/>
                <w:szCs w:val="18"/>
              </w:rPr>
              <w:t>26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xml:space="preserve">A company’s comparative income statements and balance sheets are presented below. </w:t>
            </w:r>
            <w:r w:rsidRPr="00363A5E">
              <w:rPr>
                <w:rFonts w:ascii="Segoe UI" w:eastAsia="宋体" w:hAnsi="Segoe UI" w:cs="Segoe UI"/>
                <w:color w:val="333333"/>
                <w:kern w:val="0"/>
                <w:sz w:val="18"/>
                <w:szCs w:val="18"/>
              </w:rPr>
              <w:br/>
            </w:r>
            <w:r w:rsidRPr="00363A5E">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32"/>
              <w:gridCol w:w="1730"/>
              <w:gridCol w:w="2123"/>
            </w:tblGrid>
            <w:tr w:rsidR="00363A5E" w:rsidRPr="00363A5E">
              <w:trPr>
                <w:tblCellSpacing w:w="15" w:type="dxa"/>
              </w:trPr>
              <w:tc>
                <w:tcPr>
                  <w:tcW w:w="5610" w:type="dxa"/>
                  <w:gridSpan w:val="3"/>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lastRenderedPageBreak/>
                    <w:t>Income Statement</w:t>
                  </w:r>
                  <w:r w:rsidRPr="00363A5E">
                    <w:rPr>
                      <w:rFonts w:ascii="Segoe UI" w:eastAsia="宋体" w:hAnsi="Segoe UI" w:cs="Segoe UI"/>
                      <w:b/>
                      <w:bCs/>
                      <w:color w:val="333333"/>
                      <w:kern w:val="0"/>
                      <w:sz w:val="18"/>
                      <w:szCs w:val="18"/>
                    </w:rPr>
                    <w:br/>
                    <w:t>for the year ended 31 August</w:t>
                  </w:r>
                  <w:r w:rsidRPr="00363A5E">
                    <w:rPr>
                      <w:rFonts w:ascii="Segoe UI" w:eastAsia="宋体" w:hAnsi="Segoe UI" w:cs="Segoe UI"/>
                      <w:b/>
                      <w:bCs/>
                      <w:color w:val="333333"/>
                      <w:kern w:val="0"/>
                      <w:sz w:val="18"/>
                      <w:szCs w:val="18"/>
                    </w:rPr>
                    <w:br/>
                    <w:t>(U.S. $ thousands)</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u w:val="single"/>
                    </w:rPr>
                    <w:t>2009</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u w:val="single"/>
                    </w:rPr>
                    <w:t>2008</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Sales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$100,000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$ 95,000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Cost of goods sold</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47,000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47,500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Gross profit</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53,000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47,500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Operating expenses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34,000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38,000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Interest expense</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2,400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2,700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Earnings before taxes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16,600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6,800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Income taxes 33%</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5,478</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2,244</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Net Income</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  11,122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   4,556</w:t>
                  </w:r>
                </w:p>
              </w:tc>
            </w:tr>
            <w:tr w:rsidR="00363A5E" w:rsidRPr="00363A5E">
              <w:trPr>
                <w:tblCellSpacing w:w="15" w:type="dxa"/>
              </w:trPr>
              <w:tc>
                <w:tcPr>
                  <w:tcW w:w="5610" w:type="dxa"/>
                  <w:gridSpan w:val="3"/>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r>
            <w:tr w:rsidR="00363A5E" w:rsidRPr="00363A5E">
              <w:trPr>
                <w:tblCellSpacing w:w="15" w:type="dxa"/>
              </w:trPr>
              <w:tc>
                <w:tcPr>
                  <w:tcW w:w="5610" w:type="dxa"/>
                  <w:gridSpan w:val="3"/>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Balance Sheet</w:t>
                  </w:r>
                  <w:r w:rsidRPr="00363A5E">
                    <w:rPr>
                      <w:rFonts w:ascii="Segoe UI" w:eastAsia="宋体" w:hAnsi="Segoe UI" w:cs="Segoe UI"/>
                      <w:b/>
                      <w:bCs/>
                      <w:color w:val="333333"/>
                      <w:kern w:val="0"/>
                      <w:sz w:val="18"/>
                      <w:szCs w:val="18"/>
                    </w:rPr>
                    <w:br/>
                    <w:t>as at 31 August</w:t>
                  </w:r>
                  <w:r w:rsidRPr="00363A5E">
                    <w:rPr>
                      <w:rFonts w:ascii="Segoe UI" w:eastAsia="宋体" w:hAnsi="Segoe UI" w:cs="Segoe UI"/>
                      <w:b/>
                      <w:bCs/>
                      <w:color w:val="333333"/>
                      <w:kern w:val="0"/>
                      <w:sz w:val="18"/>
                      <w:szCs w:val="18"/>
                    </w:rPr>
                    <w:br/>
                    <w:t>(U.S. $ thousands)</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u w:val="single"/>
                    </w:rPr>
                    <w:t>2009</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u w:val="single"/>
                    </w:rPr>
                    <w:t>2008</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Assets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Cash &amp; investments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21,122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25,000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Accounts receivable</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25,000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13,500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Inventories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13,000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8,500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Total current assets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59,122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47,000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Total long-term assets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72,000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80,000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Total Assets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$131,122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$127,000</w:t>
                  </w:r>
                </w:p>
              </w:tc>
            </w:tr>
            <w:tr w:rsidR="00363A5E" w:rsidRPr="00363A5E">
              <w:trPr>
                <w:tblCellSpacing w:w="15" w:type="dxa"/>
              </w:trPr>
              <w:tc>
                <w:tcPr>
                  <w:tcW w:w="5610" w:type="dxa"/>
                  <w:gridSpan w:val="3"/>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Liabilities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Accounts payable</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15,000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15,000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Other current liabilities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7,000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9,000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Total current liabilities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22,000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24,000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Long-term debt</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35,000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40,000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Total liabilities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$57,000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$64,000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t>Shareholders' equity</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Common stock</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58,000</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58,000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Retained earnings</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16,122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5,000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  74,122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  63,000</w:t>
                  </w:r>
                </w:p>
              </w:tc>
            </w:tr>
            <w:tr w:rsidR="00363A5E" w:rsidRPr="00363A5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333333"/>
                      <w:kern w:val="0"/>
                      <w:sz w:val="18"/>
                      <w:szCs w:val="18"/>
                    </w:rPr>
                    <w:lastRenderedPageBreak/>
                    <w:t>Total Liabilities &amp; Equity</w:t>
                  </w:r>
                </w:p>
              </w:tc>
              <w:tc>
                <w:tcPr>
                  <w:tcW w:w="1215"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$131,122</w:t>
                  </w:r>
                </w:p>
              </w:tc>
              <w:tc>
                <w:tcPr>
                  <w:tcW w:w="1410" w:type="dxa"/>
                  <w:tcBorders>
                    <w:top w:val="outset" w:sz="6" w:space="0" w:color="auto"/>
                    <w:left w:val="outset" w:sz="6" w:space="0" w:color="auto"/>
                    <w:bottom w:val="outset" w:sz="6" w:space="0" w:color="auto"/>
                    <w:right w:val="outset" w:sz="6" w:space="0" w:color="auto"/>
                  </w:tcBorders>
                  <w:vAlign w:val="center"/>
                  <w:hideMark/>
                </w:tcPr>
                <w:p w:rsidR="00363A5E" w:rsidRPr="00363A5E" w:rsidRDefault="00363A5E" w:rsidP="00363A5E">
                  <w:pPr>
                    <w:widowControl/>
                    <w:jc w:val="righ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u w:val="single"/>
                    </w:rPr>
                    <w:t>$127,000</w:t>
                  </w:r>
                </w:p>
              </w:tc>
            </w:tr>
          </w:tbl>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br/>
              <w:t xml:space="preserve">The cash collected from customers in 2009 is </w:t>
            </w:r>
            <w:r w:rsidRPr="00363A5E">
              <w:rPr>
                <w:rFonts w:ascii="Segoe UI" w:eastAsia="宋体" w:hAnsi="Segoe UI" w:cs="Segoe UI"/>
                <w:i/>
                <w:iCs/>
                <w:color w:val="333333"/>
                <w:kern w:val="0"/>
                <w:sz w:val="18"/>
                <w:szCs w:val="18"/>
              </w:rPr>
              <w:t>closest</w:t>
            </w:r>
            <w:r w:rsidRPr="00363A5E">
              <w:rPr>
                <w:rFonts w:ascii="Segoe UI" w:eastAsia="宋体" w:hAnsi="Segoe UI" w:cs="Segoe UI"/>
                <w:color w:val="333333"/>
                <w:kern w:val="0"/>
                <w:sz w:val="18"/>
                <w:szCs w:val="18"/>
              </w:rPr>
              <w:t xml:space="preserve"> to:</w:t>
            </w:r>
          </w:p>
        </w:tc>
      </w:tr>
      <w:tr w:rsidR="00363A5E" w:rsidRPr="00363A5E" w:rsidTr="00363A5E">
        <w:trPr>
          <w:trHeight w:val="525"/>
          <w:tblCellSpacing w:w="15" w:type="dxa"/>
        </w:trPr>
        <w:tc>
          <w:tcPr>
            <w:tcW w:w="375" w:type="dxa"/>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63A5E" w:rsidRPr="00363A5E" w:rsidRDefault="00363A5E" w:rsidP="00363A5E">
            <w:pPr>
              <w:widowControl/>
              <w:jc w:val="center"/>
              <w:rPr>
                <w:rFonts w:ascii="Segoe UI" w:eastAsia="宋体" w:hAnsi="Segoe UI" w:cs="Segoe UI"/>
                <w:color w:val="000000"/>
                <w:kern w:val="0"/>
                <w:sz w:val="18"/>
                <w:szCs w:val="18"/>
              </w:rPr>
            </w:pPr>
            <w:r w:rsidRPr="00363A5E">
              <w:rPr>
                <w:rFonts w:ascii="Segoe UI" w:eastAsia="宋体" w:hAnsi="Segoe UI" w:cs="Segoe UI"/>
                <w:color w:val="000000"/>
                <w:kern w:val="0"/>
                <w:sz w:val="18"/>
                <w:szCs w:val="18"/>
              </w:rPr>
              <w:object w:dxaOrig="1440" w:dyaOrig="1440">
                <v:shape id="_x0000_i1090" type="#_x0000_t75" style="width:20.25pt;height:15.75pt" o:ole="">
                  <v:imagedata r:id="rId7" o:title=""/>
                </v:shape>
                <w:control r:id="rId27" w:name="DefaultOcxName8" w:shapeid="_x0000_i10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63A5E" w:rsidRPr="00363A5E" w:rsidRDefault="00363A5E" w:rsidP="00363A5E">
            <w:pPr>
              <w:widowControl/>
              <w:jc w:val="left"/>
              <w:rPr>
                <w:rFonts w:ascii="Segoe UI" w:eastAsia="宋体" w:hAnsi="Segoe UI" w:cs="Segoe UI"/>
                <w:color w:val="000000"/>
                <w:kern w:val="0"/>
                <w:sz w:val="18"/>
                <w:szCs w:val="18"/>
              </w:rPr>
            </w:pPr>
            <w:r w:rsidRPr="00363A5E">
              <w:rPr>
                <w:rFonts w:ascii="Segoe UI" w:eastAsia="宋体" w:hAnsi="Segoe UI" w:cs="Segoe UI"/>
                <w:b/>
                <w:bCs/>
                <w:color w:val="000000"/>
                <w:kern w:val="0"/>
                <w:sz w:val="18"/>
                <w:szCs w:val="18"/>
              </w:rPr>
              <w:t>A.</w:t>
            </w:r>
            <w:r w:rsidRPr="00363A5E">
              <w:rPr>
                <w:rFonts w:ascii="Segoe UI" w:eastAsia="宋体" w:hAnsi="Segoe UI" w:cs="Segoe UI"/>
                <w:color w:val="000000"/>
                <w:kern w:val="0"/>
                <w:sz w:val="18"/>
                <w:szCs w:val="18"/>
              </w:rPr>
              <w:t xml:space="preserve"> $88,500.</w:t>
            </w: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r>
      <w:tr w:rsidR="00363A5E" w:rsidRPr="00363A5E" w:rsidTr="00363A5E">
        <w:trPr>
          <w:trHeight w:val="525"/>
          <w:tblCellSpacing w:w="15" w:type="dxa"/>
        </w:trPr>
        <w:tc>
          <w:tcPr>
            <w:tcW w:w="375" w:type="dxa"/>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63A5E" w:rsidRPr="00363A5E" w:rsidRDefault="00363A5E" w:rsidP="00363A5E">
            <w:pPr>
              <w:widowControl/>
              <w:jc w:val="center"/>
              <w:rPr>
                <w:rFonts w:ascii="Segoe UI" w:eastAsia="宋体" w:hAnsi="Segoe UI" w:cs="Segoe UI"/>
                <w:color w:val="000000"/>
                <w:kern w:val="0"/>
                <w:sz w:val="18"/>
                <w:szCs w:val="18"/>
              </w:rPr>
            </w:pPr>
            <w:r w:rsidRPr="00363A5E">
              <w:rPr>
                <w:rFonts w:ascii="Segoe UI" w:eastAsia="宋体" w:hAnsi="Segoe UI" w:cs="Segoe UI"/>
                <w:color w:val="000000"/>
                <w:kern w:val="0"/>
                <w:sz w:val="18"/>
                <w:szCs w:val="18"/>
              </w:rPr>
              <w:object w:dxaOrig="1440" w:dyaOrig="1440">
                <v:shape id="_x0000_i1089" type="#_x0000_t75" style="width:20.25pt;height:15.75pt" o:ole="">
                  <v:imagedata r:id="rId9" o:title=""/>
                </v:shape>
                <w:control r:id="rId28" w:name="DefaultOcxName16" w:shapeid="_x0000_i10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63A5E" w:rsidRPr="00363A5E" w:rsidRDefault="00363A5E" w:rsidP="00363A5E">
            <w:pPr>
              <w:widowControl/>
              <w:jc w:val="left"/>
              <w:rPr>
                <w:rFonts w:ascii="Segoe UI" w:eastAsia="宋体" w:hAnsi="Segoe UI" w:cs="Segoe UI"/>
                <w:color w:val="000000"/>
                <w:kern w:val="0"/>
                <w:sz w:val="18"/>
                <w:szCs w:val="18"/>
              </w:rPr>
            </w:pPr>
            <w:r w:rsidRPr="00363A5E">
              <w:rPr>
                <w:rFonts w:ascii="Segoe UI" w:eastAsia="宋体" w:hAnsi="Segoe UI" w:cs="Segoe UI"/>
                <w:b/>
                <w:bCs/>
                <w:color w:val="000000"/>
                <w:kern w:val="0"/>
                <w:sz w:val="18"/>
                <w:szCs w:val="18"/>
              </w:rPr>
              <w:t>B.</w:t>
            </w:r>
            <w:r w:rsidRPr="00363A5E">
              <w:rPr>
                <w:rFonts w:ascii="Segoe UI" w:eastAsia="宋体" w:hAnsi="Segoe UI" w:cs="Segoe UI"/>
                <w:color w:val="000000"/>
                <w:kern w:val="0"/>
                <w:sz w:val="18"/>
                <w:szCs w:val="18"/>
              </w:rPr>
              <w:t xml:space="preserve"> $96,100.</w:t>
            </w: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r>
      <w:tr w:rsidR="00363A5E" w:rsidRPr="00363A5E" w:rsidTr="00363A5E">
        <w:trPr>
          <w:trHeight w:val="525"/>
          <w:tblCellSpacing w:w="15" w:type="dxa"/>
        </w:trPr>
        <w:tc>
          <w:tcPr>
            <w:tcW w:w="375" w:type="dxa"/>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363A5E" w:rsidRPr="00363A5E" w:rsidRDefault="00363A5E" w:rsidP="00363A5E">
            <w:pPr>
              <w:widowControl/>
              <w:jc w:val="center"/>
              <w:rPr>
                <w:rFonts w:ascii="Segoe UI" w:eastAsia="宋体" w:hAnsi="Segoe UI" w:cs="Segoe UI"/>
                <w:color w:val="000000"/>
                <w:kern w:val="0"/>
                <w:sz w:val="18"/>
                <w:szCs w:val="18"/>
              </w:rPr>
            </w:pPr>
            <w:r w:rsidRPr="00363A5E">
              <w:rPr>
                <w:rFonts w:ascii="Segoe UI" w:eastAsia="宋体" w:hAnsi="Segoe UI" w:cs="Segoe UI"/>
                <w:color w:val="000000"/>
                <w:kern w:val="0"/>
                <w:sz w:val="18"/>
                <w:szCs w:val="18"/>
              </w:rPr>
              <w:object w:dxaOrig="1440" w:dyaOrig="1440">
                <v:shape id="_x0000_i1088" type="#_x0000_t75" style="width:20.25pt;height:15.75pt" o:ole="">
                  <v:imagedata r:id="rId9" o:title=""/>
                </v:shape>
                <w:control r:id="rId29" w:name="DefaultOcxName26" w:shapeid="_x0000_i10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363A5E" w:rsidRPr="00363A5E" w:rsidRDefault="00363A5E" w:rsidP="00363A5E">
            <w:pPr>
              <w:widowControl/>
              <w:jc w:val="left"/>
              <w:rPr>
                <w:rFonts w:ascii="Segoe UI" w:eastAsia="宋体" w:hAnsi="Segoe UI" w:cs="Segoe UI"/>
                <w:color w:val="000000"/>
                <w:kern w:val="0"/>
                <w:sz w:val="18"/>
                <w:szCs w:val="18"/>
              </w:rPr>
            </w:pPr>
            <w:r w:rsidRPr="00363A5E">
              <w:rPr>
                <w:rFonts w:ascii="Segoe UI" w:eastAsia="宋体" w:hAnsi="Segoe UI" w:cs="Segoe UI"/>
                <w:b/>
                <w:bCs/>
                <w:color w:val="000000"/>
                <w:kern w:val="0"/>
                <w:sz w:val="18"/>
                <w:szCs w:val="18"/>
              </w:rPr>
              <w:t>C.</w:t>
            </w:r>
            <w:r w:rsidRPr="00363A5E">
              <w:rPr>
                <w:rFonts w:ascii="Segoe UI" w:eastAsia="宋体" w:hAnsi="Segoe UI" w:cs="Segoe UI"/>
                <w:color w:val="000000"/>
                <w:kern w:val="0"/>
                <w:sz w:val="18"/>
                <w:szCs w:val="18"/>
              </w:rPr>
              <w:t xml:space="preserve"> $111,500.</w:t>
            </w: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c>
          <w:tcPr>
            <w:tcW w:w="0" w:type="auto"/>
            <w:vAlign w:val="center"/>
            <w:hideMark/>
          </w:tcPr>
          <w:p w:rsidR="00363A5E" w:rsidRPr="00363A5E" w:rsidRDefault="00363A5E" w:rsidP="00363A5E">
            <w:pPr>
              <w:widowControl/>
              <w:jc w:val="left"/>
              <w:rPr>
                <w:rFonts w:ascii="Times New Roman" w:eastAsia="Times New Roman" w:hAnsi="Times New Roman" w:cs="Times New Roman"/>
                <w:kern w:val="0"/>
                <w:sz w:val="20"/>
                <w:szCs w:val="20"/>
              </w:rPr>
            </w:pPr>
          </w:p>
        </w:tc>
      </w:tr>
      <w:tr w:rsidR="00363A5E" w:rsidRPr="00363A5E" w:rsidTr="00363A5E">
        <w:trPr>
          <w:trHeight w:val="525"/>
          <w:tblCellSpacing w:w="15" w:type="dxa"/>
        </w:trPr>
        <w:tc>
          <w:tcPr>
            <w:tcW w:w="375" w:type="dxa"/>
            <w:noWrap/>
            <w:vAlign w:val="center"/>
            <w:hideMark/>
          </w:tcPr>
          <w:p w:rsidR="00363A5E" w:rsidRPr="00363A5E" w:rsidRDefault="00363A5E" w:rsidP="00363A5E">
            <w:pPr>
              <w:widowControl/>
              <w:jc w:val="center"/>
              <w:rPr>
                <w:rFonts w:ascii="Segoe UI" w:eastAsia="宋体" w:hAnsi="Segoe UI" w:cs="Segoe UI"/>
                <w:color w:val="333333"/>
                <w:kern w:val="0"/>
                <w:sz w:val="18"/>
                <w:szCs w:val="18"/>
              </w:rPr>
            </w:pPr>
            <w:r w:rsidRPr="00363A5E">
              <w:rPr>
                <w:rFonts w:ascii="Segoe UI" w:eastAsia="宋体" w:hAnsi="Segoe UI" w:cs="Segoe UI"/>
                <w:color w:val="333333"/>
                <w:kern w:val="0"/>
                <w:sz w:val="18"/>
                <w:szCs w:val="18"/>
              </w:rPr>
              <w:t> </w:t>
            </w:r>
          </w:p>
        </w:tc>
        <w:tc>
          <w:tcPr>
            <w:tcW w:w="0" w:type="auto"/>
            <w:gridSpan w:val="5"/>
            <w:shd w:val="clear" w:color="auto" w:fill="9ACD32"/>
            <w:vAlign w:val="center"/>
            <w:hideMark/>
          </w:tcPr>
          <w:p w:rsidR="00363A5E" w:rsidRPr="00363A5E" w:rsidRDefault="00363A5E" w:rsidP="00363A5E">
            <w:pPr>
              <w:widowControl/>
              <w:jc w:val="left"/>
              <w:rPr>
                <w:rFonts w:ascii="Segoe UI" w:eastAsia="宋体" w:hAnsi="Segoe UI" w:cs="Segoe UI"/>
                <w:color w:val="333333"/>
                <w:kern w:val="0"/>
                <w:sz w:val="18"/>
                <w:szCs w:val="18"/>
              </w:rPr>
            </w:pPr>
            <w:r w:rsidRPr="00363A5E">
              <w:rPr>
                <w:rFonts w:ascii="Segoe UI" w:eastAsia="宋体" w:hAnsi="Segoe UI" w:cs="Segoe UI"/>
                <w:b/>
                <w:bCs/>
                <w:color w:val="000080"/>
                <w:kern w:val="0"/>
                <w:sz w:val="16"/>
                <w:szCs w:val="16"/>
              </w:rPr>
              <w:t>Feedback:</w:t>
            </w:r>
            <w:r w:rsidRPr="00363A5E">
              <w:rPr>
                <w:rFonts w:ascii="Segoe UI" w:eastAsia="宋体" w:hAnsi="Segoe UI" w:cs="Segoe UI"/>
                <w:color w:val="333333"/>
                <w:kern w:val="0"/>
                <w:sz w:val="18"/>
                <w:szCs w:val="18"/>
              </w:rPr>
              <w:t xml:space="preserve"> You have answered correctly.</w:t>
            </w:r>
            <w:r w:rsidRPr="00363A5E">
              <w:rPr>
                <w:rFonts w:ascii="Segoe UI" w:eastAsia="宋体" w:hAnsi="Segoe UI" w:cs="Segoe UI"/>
                <w:color w:val="333333"/>
                <w:kern w:val="0"/>
                <w:sz w:val="18"/>
                <w:szCs w:val="18"/>
              </w:rPr>
              <w:br/>
            </w:r>
            <w:r w:rsidRPr="00363A5E">
              <w:rPr>
                <w:rFonts w:ascii="Segoe UI" w:eastAsia="宋体" w:hAnsi="Segoe UI" w:cs="Segoe UI"/>
                <w:color w:val="333333"/>
                <w:kern w:val="0"/>
                <w:sz w:val="18"/>
                <w:szCs w:val="18"/>
              </w:rPr>
              <w:br/>
              <w:t xml:space="preserve">Correct answer: </w:t>
            </w:r>
            <w:r w:rsidRPr="00363A5E">
              <w:rPr>
                <w:rFonts w:ascii="Segoe UI" w:eastAsia="宋体" w:hAnsi="Segoe UI" w:cs="Segoe UI"/>
                <w:b/>
                <w:bCs/>
                <w:color w:val="333333"/>
                <w:kern w:val="0"/>
                <w:sz w:val="18"/>
                <w:szCs w:val="18"/>
              </w:rPr>
              <w:t>A</w:t>
            </w:r>
            <w:r w:rsidRPr="00363A5E">
              <w:rPr>
                <w:rFonts w:ascii="Segoe UI" w:eastAsia="宋体" w:hAnsi="Segoe UI" w:cs="Segoe UI"/>
                <w:color w:val="333333"/>
                <w:kern w:val="0"/>
                <w:sz w:val="18"/>
                <w:szCs w:val="18"/>
              </w:rPr>
              <w:br/>
            </w:r>
            <w:r w:rsidRPr="00363A5E">
              <w:rPr>
                <w:rFonts w:ascii="Segoe UI" w:eastAsia="宋体" w:hAnsi="Segoe UI" w:cs="Segoe UI"/>
                <w:color w:val="333333"/>
                <w:kern w:val="0"/>
                <w:sz w:val="18"/>
                <w:szCs w:val="18"/>
              </w:rPr>
              <w:br/>
              <w:t xml:space="preserve">"Understanding the Cash Flow Statement," Thomas R. Robinson, CFA, Jan </w:t>
            </w:r>
            <w:proofErr w:type="spellStart"/>
            <w:r w:rsidRPr="00363A5E">
              <w:rPr>
                <w:rFonts w:ascii="Segoe UI" w:eastAsia="宋体" w:hAnsi="Segoe UI" w:cs="Segoe UI"/>
                <w:color w:val="333333"/>
                <w:kern w:val="0"/>
                <w:sz w:val="18"/>
                <w:szCs w:val="18"/>
              </w:rPr>
              <w:t>Hendrik</w:t>
            </w:r>
            <w:proofErr w:type="spellEnd"/>
            <w:r w:rsidRPr="00363A5E">
              <w:rPr>
                <w:rFonts w:ascii="Segoe UI" w:eastAsia="宋体" w:hAnsi="Segoe UI" w:cs="Segoe UI"/>
                <w:color w:val="333333"/>
                <w:kern w:val="0"/>
                <w:sz w:val="18"/>
                <w:szCs w:val="18"/>
              </w:rPr>
              <w:t xml:space="preserve"> van </w:t>
            </w:r>
            <w:proofErr w:type="spellStart"/>
            <w:r w:rsidRPr="00363A5E">
              <w:rPr>
                <w:rFonts w:ascii="Segoe UI" w:eastAsia="宋体" w:hAnsi="Segoe UI" w:cs="Segoe UI"/>
                <w:color w:val="333333"/>
                <w:kern w:val="0"/>
                <w:sz w:val="18"/>
                <w:szCs w:val="18"/>
              </w:rPr>
              <w:t>Greuning</w:t>
            </w:r>
            <w:proofErr w:type="spellEnd"/>
            <w:r w:rsidRPr="00363A5E">
              <w:rPr>
                <w:rFonts w:ascii="Segoe UI" w:eastAsia="宋体" w:hAnsi="Segoe UI" w:cs="Segoe UI"/>
                <w:color w:val="333333"/>
                <w:kern w:val="0"/>
                <w:sz w:val="18"/>
                <w:szCs w:val="18"/>
              </w:rPr>
              <w:t xml:space="preserve">, CFA, Elaine Henry, CFA, and Michael A. </w:t>
            </w:r>
            <w:proofErr w:type="spellStart"/>
            <w:r w:rsidRPr="00363A5E">
              <w:rPr>
                <w:rFonts w:ascii="Segoe UI" w:eastAsia="宋体" w:hAnsi="Segoe UI" w:cs="Segoe UI"/>
                <w:color w:val="333333"/>
                <w:kern w:val="0"/>
                <w:sz w:val="18"/>
                <w:szCs w:val="18"/>
              </w:rPr>
              <w:t>Broihahn</w:t>
            </w:r>
            <w:proofErr w:type="spellEnd"/>
            <w:r w:rsidRPr="00363A5E">
              <w:rPr>
                <w:rFonts w:ascii="Segoe UI" w:eastAsia="宋体" w:hAnsi="Segoe UI" w:cs="Segoe UI"/>
                <w:color w:val="333333"/>
                <w:kern w:val="0"/>
                <w:sz w:val="18"/>
                <w:szCs w:val="18"/>
              </w:rPr>
              <w:t>, CFA</w:t>
            </w:r>
            <w:r w:rsidRPr="00363A5E">
              <w:rPr>
                <w:rFonts w:ascii="Segoe UI" w:eastAsia="宋体" w:hAnsi="Segoe UI" w:cs="Segoe UI"/>
                <w:color w:val="333333"/>
                <w:kern w:val="0"/>
                <w:sz w:val="18"/>
                <w:szCs w:val="18"/>
              </w:rPr>
              <w:br/>
              <w:t>2011 Modular Level I, Vol. 3, pp. 267–268</w:t>
            </w:r>
            <w:r w:rsidRPr="00363A5E">
              <w:rPr>
                <w:rFonts w:ascii="Segoe UI" w:eastAsia="宋体" w:hAnsi="Segoe UI" w:cs="Segoe UI"/>
                <w:color w:val="333333"/>
                <w:kern w:val="0"/>
                <w:sz w:val="18"/>
                <w:szCs w:val="18"/>
              </w:rPr>
              <w:br/>
              <w:t>Study Session 8–34–e</w:t>
            </w:r>
            <w:r w:rsidRPr="00363A5E">
              <w:rPr>
                <w:rFonts w:ascii="Segoe UI" w:eastAsia="宋体" w:hAnsi="Segoe UI" w:cs="Segoe UI"/>
                <w:color w:val="333333"/>
                <w:kern w:val="0"/>
                <w:sz w:val="18"/>
                <w:szCs w:val="18"/>
              </w:rPr>
              <w:br/>
              <w:t>Demonstrate the steps in the preparation of direct and indirect cash flow statements, including how cash flows can be computed using income statement and balance sheet data.</w:t>
            </w:r>
            <w:r w:rsidRPr="00363A5E">
              <w:rPr>
                <w:rFonts w:ascii="Segoe UI" w:eastAsia="宋体" w:hAnsi="Segoe UI" w:cs="Segoe UI"/>
                <w:color w:val="333333"/>
                <w:kern w:val="0"/>
                <w:sz w:val="18"/>
                <w:szCs w:val="18"/>
              </w:rPr>
              <w:br/>
            </w:r>
            <w:r w:rsidRPr="00363A5E">
              <w:rPr>
                <w:rFonts w:ascii="Segoe UI" w:eastAsia="宋体" w:hAnsi="Segoe UI" w:cs="Segoe UI"/>
                <w:color w:val="333333"/>
                <w:kern w:val="0"/>
                <w:sz w:val="18"/>
                <w:szCs w:val="18"/>
              </w:rPr>
              <w:br/>
              <w:t>Cash collected from customers = Revenues – increase in AR = $100 – (25 – 13.5) = 88.5. </w:t>
            </w:r>
          </w:p>
        </w:tc>
      </w:tr>
    </w:tbl>
    <w:p w:rsidR="00E822D7" w:rsidRDefault="00E822D7">
      <w:pPr>
        <w:rPr>
          <w:rFonts w:hint="eastAsia"/>
        </w:rPr>
      </w:pPr>
    </w:p>
    <w:tbl>
      <w:tblPr>
        <w:tblW w:w="5000" w:type="pct"/>
        <w:tblCellSpacing w:w="15" w:type="dxa"/>
        <w:tblCellMar>
          <w:top w:w="30" w:type="dxa"/>
          <w:left w:w="30" w:type="dxa"/>
          <w:bottom w:w="30" w:type="dxa"/>
          <w:right w:w="30" w:type="dxa"/>
        </w:tblCellMar>
        <w:tblLook w:val="04A0"/>
      </w:tblPr>
      <w:tblGrid>
        <w:gridCol w:w="420"/>
        <w:gridCol w:w="607"/>
        <w:gridCol w:w="7114"/>
        <w:gridCol w:w="100"/>
        <w:gridCol w:w="100"/>
        <w:gridCol w:w="115"/>
      </w:tblGrid>
      <w:tr w:rsidR="00AF1567" w:rsidRPr="00AF1567" w:rsidTr="00AF156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AF1567" w:rsidRPr="00AF1567" w:rsidRDefault="00AF1567" w:rsidP="00AF1567">
            <w:pPr>
              <w:widowControl/>
              <w:jc w:val="left"/>
              <w:rPr>
                <w:rFonts w:ascii="Segoe UI" w:eastAsia="宋体" w:hAnsi="Segoe UI" w:cs="Segoe UI"/>
                <w:b/>
                <w:bCs/>
                <w:color w:val="000000"/>
                <w:kern w:val="0"/>
                <w:sz w:val="18"/>
                <w:szCs w:val="18"/>
              </w:rPr>
            </w:pPr>
            <w:r w:rsidRPr="00AF1567">
              <w:rPr>
                <w:rFonts w:ascii="Segoe UI" w:eastAsia="宋体" w:hAnsi="Segoe UI" w:cs="Segoe UI"/>
                <w:b/>
                <w:bCs/>
                <w:color w:val="000000"/>
                <w:kern w:val="0"/>
                <w:sz w:val="18"/>
                <w:szCs w:val="18"/>
              </w:rPr>
              <w:t>27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Selected information for a company and the common size data for its industry are provided below.</w:t>
            </w:r>
            <w:r w:rsidRPr="00AF1567">
              <w:rPr>
                <w:rFonts w:ascii="Segoe UI" w:eastAsia="宋体" w:hAnsi="Segoe UI" w:cs="Segoe UI"/>
                <w:color w:val="333333"/>
                <w:kern w:val="0"/>
                <w:sz w:val="18"/>
                <w:szCs w:val="18"/>
              </w:rPr>
              <w:br/>
            </w:r>
            <w:r w:rsidRPr="00AF156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47"/>
              <w:gridCol w:w="2319"/>
              <w:gridCol w:w="3019"/>
            </w:tblGrid>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Company</w:t>
                  </w:r>
                  <w:r w:rsidRPr="00AF1567">
                    <w:rPr>
                      <w:rFonts w:ascii="Segoe UI" w:eastAsia="宋体" w:hAnsi="Segoe UI" w:cs="Segoe UI"/>
                      <w:b/>
                      <w:bCs/>
                      <w:color w:val="333333"/>
                      <w:kern w:val="0"/>
                      <w:sz w:val="18"/>
                      <w:szCs w:val="18"/>
                    </w:rPr>
                    <w:br/>
                    <w:t>(£)</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Common Size</w:t>
                  </w:r>
                  <w:r w:rsidRPr="00AF1567">
                    <w:rPr>
                      <w:rFonts w:ascii="Segoe UI" w:eastAsia="宋体" w:hAnsi="Segoe UI" w:cs="Segoe UI"/>
                      <w:b/>
                      <w:bCs/>
                      <w:color w:val="333333"/>
                      <w:kern w:val="0"/>
                      <w:sz w:val="18"/>
                      <w:szCs w:val="18"/>
                    </w:rPr>
                    <w:br/>
                    <w:t>Industry Data</w:t>
                  </w:r>
                  <w:r w:rsidRPr="00AF1567">
                    <w:rPr>
                      <w:rFonts w:ascii="Segoe UI" w:eastAsia="宋体" w:hAnsi="Segoe UI" w:cs="Segoe UI"/>
                      <w:b/>
                      <w:bCs/>
                      <w:color w:val="333333"/>
                      <w:kern w:val="0"/>
                      <w:sz w:val="18"/>
                      <w:szCs w:val="18"/>
                    </w:rPr>
                    <w:br/>
                    <w:t>(% of sales)</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EBIT</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76,000</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28.0</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Pretax profit</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66,400</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19.6</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Net income</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44,488</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13.1</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Sales</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400,000</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100.0</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Total assets</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524,488</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131.0</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Total equity</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296,488</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74.0</w:t>
                  </w:r>
                </w:p>
              </w:tc>
            </w:tr>
            <w:tr w:rsidR="00AF1567" w:rsidRPr="00AF1567">
              <w:trPr>
                <w:tblCellSpacing w:w="15" w:type="dxa"/>
              </w:trPr>
              <w:tc>
                <w:tcPr>
                  <w:tcW w:w="4995" w:type="dxa"/>
                  <w:gridSpan w:val="3"/>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r>
            <w:tr w:rsidR="00AF1567" w:rsidRPr="00AF1567">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ROE</w:t>
                  </w:r>
                </w:p>
              </w:tc>
              <w:tc>
                <w:tcPr>
                  <w:tcW w:w="145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14.5%</w:t>
                  </w:r>
                </w:p>
              </w:tc>
              <w:tc>
                <w:tcPr>
                  <w:tcW w:w="184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17.7%</w:t>
                  </w:r>
                </w:p>
              </w:tc>
            </w:tr>
          </w:tbl>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br/>
              <w:t xml:space="preserve">The main driver of the company’s inferior ROE compared to that of the industry is </w:t>
            </w:r>
            <w:r w:rsidRPr="00AF1567">
              <w:rPr>
                <w:rFonts w:ascii="Segoe UI" w:eastAsia="宋体" w:hAnsi="Segoe UI" w:cs="Segoe UI"/>
                <w:i/>
                <w:iCs/>
                <w:color w:val="333333"/>
                <w:kern w:val="0"/>
                <w:sz w:val="18"/>
                <w:szCs w:val="18"/>
              </w:rPr>
              <w:t>most likely</w:t>
            </w:r>
            <w:r w:rsidRPr="00AF1567">
              <w:rPr>
                <w:rFonts w:ascii="Segoe UI" w:eastAsia="宋体" w:hAnsi="Segoe UI" w:cs="Segoe UI"/>
                <w:color w:val="333333"/>
                <w:kern w:val="0"/>
                <w:sz w:val="18"/>
                <w:szCs w:val="18"/>
              </w:rPr>
              <w:t xml:space="preserve"> the result of its lower:</w:t>
            </w:r>
          </w:p>
        </w:tc>
      </w:tr>
      <w:tr w:rsidR="00AF1567" w:rsidRPr="00AF1567" w:rsidTr="00AF1567">
        <w:trPr>
          <w:trHeight w:val="525"/>
          <w:tblCellSpacing w:w="15" w:type="dxa"/>
        </w:trPr>
        <w:tc>
          <w:tcPr>
            <w:tcW w:w="375" w:type="dxa"/>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AF1567" w:rsidRPr="00AF1567" w:rsidRDefault="00AF1567" w:rsidP="00AF1567">
            <w:pPr>
              <w:widowControl/>
              <w:jc w:val="center"/>
              <w:rPr>
                <w:rFonts w:ascii="Segoe UI" w:eastAsia="宋体" w:hAnsi="Segoe UI" w:cs="Segoe UI"/>
                <w:color w:val="000000"/>
                <w:kern w:val="0"/>
                <w:sz w:val="18"/>
                <w:szCs w:val="18"/>
              </w:rPr>
            </w:pPr>
            <w:r w:rsidRPr="00AF1567">
              <w:rPr>
                <w:rFonts w:ascii="Segoe UI" w:eastAsia="宋体" w:hAnsi="Segoe UI" w:cs="Segoe UI"/>
                <w:color w:val="000000"/>
                <w:kern w:val="0"/>
                <w:sz w:val="18"/>
                <w:szCs w:val="18"/>
              </w:rPr>
              <w:object w:dxaOrig="1440" w:dyaOrig="1440">
                <v:shape id="_x0000_i1099" type="#_x0000_t75" style="width:20.25pt;height:15.75pt" o:ole="">
                  <v:imagedata r:id="rId7" o:title=""/>
                </v:shape>
                <w:control r:id="rId30" w:name="DefaultOcxName9" w:shapeid="_x0000_i109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AF1567" w:rsidRPr="00AF1567" w:rsidRDefault="00AF1567" w:rsidP="00AF1567">
            <w:pPr>
              <w:widowControl/>
              <w:jc w:val="left"/>
              <w:rPr>
                <w:rFonts w:ascii="Segoe UI" w:eastAsia="宋体" w:hAnsi="Segoe UI" w:cs="Segoe UI"/>
                <w:color w:val="000000"/>
                <w:kern w:val="0"/>
                <w:sz w:val="18"/>
                <w:szCs w:val="18"/>
              </w:rPr>
            </w:pPr>
            <w:r w:rsidRPr="00AF1567">
              <w:rPr>
                <w:rFonts w:ascii="Segoe UI" w:eastAsia="宋体" w:hAnsi="Segoe UI" w:cs="Segoe UI"/>
                <w:b/>
                <w:bCs/>
                <w:color w:val="000000"/>
                <w:kern w:val="0"/>
                <w:sz w:val="18"/>
                <w:szCs w:val="18"/>
              </w:rPr>
              <w:t>A.</w:t>
            </w:r>
            <w:r w:rsidRPr="00AF1567">
              <w:rPr>
                <w:rFonts w:ascii="Segoe UI" w:eastAsia="宋体" w:hAnsi="Segoe UI" w:cs="Segoe UI"/>
                <w:color w:val="000000"/>
                <w:kern w:val="0"/>
                <w:sz w:val="18"/>
                <w:szCs w:val="18"/>
              </w:rPr>
              <w:t xml:space="preserve"> EBIT margin.</w:t>
            </w: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r>
      <w:tr w:rsidR="00AF1567" w:rsidRPr="00AF1567" w:rsidTr="00AF1567">
        <w:trPr>
          <w:trHeight w:val="525"/>
          <w:tblCellSpacing w:w="15" w:type="dxa"/>
        </w:trPr>
        <w:tc>
          <w:tcPr>
            <w:tcW w:w="375" w:type="dxa"/>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AF1567" w:rsidRPr="00AF1567" w:rsidRDefault="00AF1567" w:rsidP="00AF1567">
            <w:pPr>
              <w:widowControl/>
              <w:jc w:val="center"/>
              <w:rPr>
                <w:rFonts w:ascii="Segoe UI" w:eastAsia="宋体" w:hAnsi="Segoe UI" w:cs="Segoe UI"/>
                <w:color w:val="000000"/>
                <w:kern w:val="0"/>
                <w:sz w:val="18"/>
                <w:szCs w:val="18"/>
              </w:rPr>
            </w:pPr>
            <w:r w:rsidRPr="00AF1567">
              <w:rPr>
                <w:rFonts w:ascii="Segoe UI" w:eastAsia="宋体" w:hAnsi="Segoe UI" w:cs="Segoe UI"/>
                <w:color w:val="000000"/>
                <w:kern w:val="0"/>
                <w:sz w:val="18"/>
                <w:szCs w:val="18"/>
              </w:rPr>
              <w:object w:dxaOrig="1440" w:dyaOrig="1440">
                <v:shape id="_x0000_i1098" type="#_x0000_t75" style="width:20.25pt;height:15.75pt" o:ole="">
                  <v:imagedata r:id="rId9" o:title=""/>
                </v:shape>
                <w:control r:id="rId31" w:name="DefaultOcxName17" w:shapeid="_x0000_i10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AF1567" w:rsidRPr="00AF1567" w:rsidRDefault="00AF1567" w:rsidP="00AF1567">
            <w:pPr>
              <w:widowControl/>
              <w:jc w:val="left"/>
              <w:rPr>
                <w:rFonts w:ascii="Segoe UI" w:eastAsia="宋体" w:hAnsi="Segoe UI" w:cs="Segoe UI"/>
                <w:color w:val="000000"/>
                <w:kern w:val="0"/>
                <w:sz w:val="18"/>
                <w:szCs w:val="18"/>
              </w:rPr>
            </w:pPr>
            <w:r w:rsidRPr="00AF1567">
              <w:rPr>
                <w:rFonts w:ascii="Segoe UI" w:eastAsia="宋体" w:hAnsi="Segoe UI" w:cs="Segoe UI"/>
                <w:b/>
                <w:bCs/>
                <w:color w:val="000000"/>
                <w:kern w:val="0"/>
                <w:sz w:val="18"/>
                <w:szCs w:val="18"/>
              </w:rPr>
              <w:t>B.</w:t>
            </w:r>
            <w:r w:rsidRPr="00AF1567">
              <w:rPr>
                <w:rFonts w:ascii="Segoe UI" w:eastAsia="宋体" w:hAnsi="Segoe UI" w:cs="Segoe UI"/>
                <w:color w:val="000000"/>
                <w:kern w:val="0"/>
                <w:sz w:val="18"/>
                <w:szCs w:val="18"/>
              </w:rPr>
              <w:t xml:space="preserve"> tax burden ratio.</w:t>
            </w: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r>
      <w:tr w:rsidR="00AF1567" w:rsidRPr="00AF1567" w:rsidTr="00AF1567">
        <w:trPr>
          <w:trHeight w:val="525"/>
          <w:tblCellSpacing w:w="15" w:type="dxa"/>
        </w:trPr>
        <w:tc>
          <w:tcPr>
            <w:tcW w:w="375" w:type="dxa"/>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AF1567" w:rsidRPr="00AF1567" w:rsidRDefault="00AF1567" w:rsidP="00AF1567">
            <w:pPr>
              <w:widowControl/>
              <w:jc w:val="center"/>
              <w:rPr>
                <w:rFonts w:ascii="Segoe UI" w:eastAsia="宋体" w:hAnsi="Segoe UI" w:cs="Segoe UI"/>
                <w:color w:val="000000"/>
                <w:kern w:val="0"/>
                <w:sz w:val="18"/>
                <w:szCs w:val="18"/>
              </w:rPr>
            </w:pPr>
            <w:r w:rsidRPr="00AF1567">
              <w:rPr>
                <w:rFonts w:ascii="Segoe UI" w:eastAsia="宋体" w:hAnsi="Segoe UI" w:cs="Segoe UI"/>
                <w:color w:val="000000"/>
                <w:kern w:val="0"/>
                <w:sz w:val="18"/>
                <w:szCs w:val="18"/>
              </w:rPr>
              <w:object w:dxaOrig="1440" w:dyaOrig="1440">
                <v:shape id="_x0000_i1097" type="#_x0000_t75" style="width:20.25pt;height:15.75pt" o:ole="">
                  <v:imagedata r:id="rId9" o:title=""/>
                </v:shape>
                <w:control r:id="rId32" w:name="DefaultOcxName27" w:shapeid="_x0000_i10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AF1567" w:rsidRPr="00AF1567" w:rsidRDefault="00AF1567" w:rsidP="00AF1567">
            <w:pPr>
              <w:widowControl/>
              <w:jc w:val="left"/>
              <w:rPr>
                <w:rFonts w:ascii="Segoe UI" w:eastAsia="宋体" w:hAnsi="Segoe UI" w:cs="Segoe UI"/>
                <w:color w:val="000000"/>
                <w:kern w:val="0"/>
                <w:sz w:val="18"/>
                <w:szCs w:val="18"/>
              </w:rPr>
            </w:pPr>
            <w:r w:rsidRPr="00AF1567">
              <w:rPr>
                <w:rFonts w:ascii="Segoe UI" w:eastAsia="宋体" w:hAnsi="Segoe UI" w:cs="Segoe UI"/>
                <w:b/>
                <w:bCs/>
                <w:color w:val="000000"/>
                <w:kern w:val="0"/>
                <w:sz w:val="18"/>
                <w:szCs w:val="18"/>
              </w:rPr>
              <w:t>C.</w:t>
            </w:r>
            <w:r w:rsidRPr="00AF1567">
              <w:rPr>
                <w:rFonts w:ascii="Segoe UI" w:eastAsia="宋体" w:hAnsi="Segoe UI" w:cs="Segoe UI"/>
                <w:color w:val="000000"/>
                <w:kern w:val="0"/>
                <w:sz w:val="18"/>
                <w:szCs w:val="18"/>
              </w:rPr>
              <w:t xml:space="preserve"> interest burden ratio.</w:t>
            </w: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c>
          <w:tcPr>
            <w:tcW w:w="0" w:type="auto"/>
            <w:vAlign w:val="center"/>
            <w:hideMark/>
          </w:tcPr>
          <w:p w:rsidR="00AF1567" w:rsidRPr="00AF1567" w:rsidRDefault="00AF1567" w:rsidP="00AF1567">
            <w:pPr>
              <w:widowControl/>
              <w:jc w:val="left"/>
              <w:rPr>
                <w:rFonts w:ascii="Times New Roman" w:eastAsia="Times New Roman" w:hAnsi="Times New Roman" w:cs="Times New Roman"/>
                <w:kern w:val="0"/>
                <w:sz w:val="20"/>
                <w:szCs w:val="20"/>
              </w:rPr>
            </w:pPr>
          </w:p>
        </w:tc>
      </w:tr>
      <w:tr w:rsidR="00AF1567" w:rsidRPr="00AF1567" w:rsidTr="00AF1567">
        <w:trPr>
          <w:trHeight w:val="525"/>
          <w:tblCellSpacing w:w="15" w:type="dxa"/>
        </w:trPr>
        <w:tc>
          <w:tcPr>
            <w:tcW w:w="375" w:type="dxa"/>
            <w:noWrap/>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c>
          <w:tcPr>
            <w:tcW w:w="0" w:type="auto"/>
            <w:gridSpan w:val="5"/>
            <w:shd w:val="clear" w:color="auto" w:fill="9ACD32"/>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b/>
                <w:bCs/>
                <w:color w:val="000080"/>
                <w:kern w:val="0"/>
                <w:sz w:val="16"/>
                <w:szCs w:val="16"/>
              </w:rPr>
              <w:t>Feedback:</w:t>
            </w:r>
            <w:r w:rsidRPr="00AF1567">
              <w:rPr>
                <w:rFonts w:ascii="Segoe UI" w:eastAsia="宋体" w:hAnsi="Segoe UI" w:cs="Segoe UI"/>
                <w:color w:val="333333"/>
                <w:kern w:val="0"/>
                <w:sz w:val="18"/>
                <w:szCs w:val="18"/>
              </w:rPr>
              <w:t xml:space="preserve"> You have answered correctly.</w:t>
            </w:r>
            <w:r w:rsidRPr="00AF1567">
              <w:rPr>
                <w:rFonts w:ascii="Segoe UI" w:eastAsia="宋体" w:hAnsi="Segoe UI" w:cs="Segoe UI"/>
                <w:color w:val="333333"/>
                <w:kern w:val="0"/>
                <w:sz w:val="18"/>
                <w:szCs w:val="18"/>
              </w:rPr>
              <w:br/>
            </w:r>
            <w:r w:rsidRPr="00AF1567">
              <w:rPr>
                <w:rFonts w:ascii="Segoe UI" w:eastAsia="宋体" w:hAnsi="Segoe UI" w:cs="Segoe UI"/>
                <w:color w:val="333333"/>
                <w:kern w:val="0"/>
                <w:sz w:val="18"/>
                <w:szCs w:val="18"/>
              </w:rPr>
              <w:br/>
              <w:t xml:space="preserve">Correct answer: </w:t>
            </w:r>
            <w:r w:rsidRPr="00AF1567">
              <w:rPr>
                <w:rFonts w:ascii="Segoe UI" w:eastAsia="宋体" w:hAnsi="Segoe UI" w:cs="Segoe UI"/>
                <w:b/>
                <w:bCs/>
                <w:color w:val="333333"/>
                <w:kern w:val="0"/>
                <w:sz w:val="18"/>
                <w:szCs w:val="18"/>
              </w:rPr>
              <w:t>A</w:t>
            </w:r>
            <w:r w:rsidRPr="00AF1567">
              <w:rPr>
                <w:rFonts w:ascii="Segoe UI" w:eastAsia="宋体" w:hAnsi="Segoe UI" w:cs="Segoe UI"/>
                <w:color w:val="333333"/>
                <w:kern w:val="0"/>
                <w:sz w:val="18"/>
                <w:szCs w:val="18"/>
              </w:rPr>
              <w:br/>
            </w:r>
            <w:r w:rsidRPr="00AF1567">
              <w:rPr>
                <w:rFonts w:ascii="Segoe UI" w:eastAsia="宋体" w:hAnsi="Segoe UI" w:cs="Segoe UI"/>
                <w:color w:val="333333"/>
                <w:kern w:val="0"/>
                <w:sz w:val="18"/>
                <w:szCs w:val="18"/>
              </w:rPr>
              <w:br/>
              <w:t xml:space="preserve">"Financial Analysis Techniques," Thomas R. Robinson, CFA, Jan </w:t>
            </w:r>
            <w:proofErr w:type="spellStart"/>
            <w:r w:rsidRPr="00AF1567">
              <w:rPr>
                <w:rFonts w:ascii="Segoe UI" w:eastAsia="宋体" w:hAnsi="Segoe UI" w:cs="Segoe UI"/>
                <w:color w:val="333333"/>
                <w:kern w:val="0"/>
                <w:sz w:val="18"/>
                <w:szCs w:val="18"/>
              </w:rPr>
              <w:t>Hendrik</w:t>
            </w:r>
            <w:proofErr w:type="spellEnd"/>
            <w:r w:rsidRPr="00AF1567">
              <w:rPr>
                <w:rFonts w:ascii="Segoe UI" w:eastAsia="宋体" w:hAnsi="Segoe UI" w:cs="Segoe UI"/>
                <w:color w:val="333333"/>
                <w:kern w:val="0"/>
                <w:sz w:val="18"/>
                <w:szCs w:val="18"/>
              </w:rPr>
              <w:t xml:space="preserve"> van </w:t>
            </w:r>
            <w:proofErr w:type="spellStart"/>
            <w:r w:rsidRPr="00AF1567">
              <w:rPr>
                <w:rFonts w:ascii="Segoe UI" w:eastAsia="宋体" w:hAnsi="Segoe UI" w:cs="Segoe UI"/>
                <w:color w:val="333333"/>
                <w:kern w:val="0"/>
                <w:sz w:val="18"/>
                <w:szCs w:val="18"/>
              </w:rPr>
              <w:t>Greuning</w:t>
            </w:r>
            <w:proofErr w:type="spellEnd"/>
            <w:r w:rsidRPr="00AF1567">
              <w:rPr>
                <w:rFonts w:ascii="Segoe UI" w:eastAsia="宋体" w:hAnsi="Segoe UI" w:cs="Segoe UI"/>
                <w:color w:val="333333"/>
                <w:kern w:val="0"/>
                <w:sz w:val="18"/>
                <w:szCs w:val="18"/>
              </w:rPr>
              <w:t xml:space="preserve">, CFA, Elaine Henry, CFA, and Michael A. </w:t>
            </w:r>
            <w:proofErr w:type="spellStart"/>
            <w:r w:rsidRPr="00AF1567">
              <w:rPr>
                <w:rFonts w:ascii="Segoe UI" w:eastAsia="宋体" w:hAnsi="Segoe UI" w:cs="Segoe UI"/>
                <w:color w:val="333333"/>
                <w:kern w:val="0"/>
                <w:sz w:val="18"/>
                <w:szCs w:val="18"/>
              </w:rPr>
              <w:t>Broihahn</w:t>
            </w:r>
            <w:proofErr w:type="spellEnd"/>
            <w:r w:rsidRPr="00AF1567">
              <w:rPr>
                <w:rFonts w:ascii="Segoe UI" w:eastAsia="宋体" w:hAnsi="Segoe UI" w:cs="Segoe UI"/>
                <w:color w:val="333333"/>
                <w:kern w:val="0"/>
                <w:sz w:val="18"/>
                <w:szCs w:val="18"/>
              </w:rPr>
              <w:t>, CFA</w:t>
            </w:r>
            <w:r w:rsidRPr="00AF1567">
              <w:rPr>
                <w:rFonts w:ascii="Segoe UI" w:eastAsia="宋体" w:hAnsi="Segoe UI" w:cs="Segoe UI"/>
                <w:color w:val="333333"/>
                <w:kern w:val="0"/>
                <w:sz w:val="18"/>
                <w:szCs w:val="18"/>
              </w:rPr>
              <w:br/>
              <w:t>2011 Modular Level I, Vol. 3, pp. 342–346</w:t>
            </w:r>
            <w:r w:rsidRPr="00AF1567">
              <w:rPr>
                <w:rFonts w:ascii="Segoe UI" w:eastAsia="宋体" w:hAnsi="Segoe UI" w:cs="Segoe UI"/>
                <w:color w:val="333333"/>
                <w:kern w:val="0"/>
                <w:sz w:val="18"/>
                <w:szCs w:val="18"/>
              </w:rPr>
              <w:br/>
              <w:t>"Financial Statement Analysis," Pamela Peterson Drake, CFA</w:t>
            </w:r>
            <w:r w:rsidRPr="00AF1567">
              <w:rPr>
                <w:rFonts w:ascii="Segoe UI" w:eastAsia="宋体" w:hAnsi="Segoe UI" w:cs="Segoe UI"/>
                <w:color w:val="333333"/>
                <w:kern w:val="0"/>
                <w:sz w:val="18"/>
                <w:szCs w:val="18"/>
              </w:rPr>
              <w:br/>
              <w:t>2011 Modular Level I, Vol. 4, pp. 213–215</w:t>
            </w:r>
            <w:r w:rsidRPr="00AF1567">
              <w:rPr>
                <w:rFonts w:ascii="Segoe UI" w:eastAsia="宋体" w:hAnsi="Segoe UI" w:cs="Segoe UI"/>
                <w:color w:val="333333"/>
                <w:kern w:val="0"/>
                <w:sz w:val="18"/>
                <w:szCs w:val="18"/>
              </w:rPr>
              <w:br/>
              <w:t>Study Sessions 8–35–f, 11–49</w:t>
            </w:r>
            <w:r w:rsidRPr="00AF1567">
              <w:rPr>
                <w:rFonts w:ascii="Segoe UI" w:eastAsia="宋体" w:hAnsi="Segoe UI" w:cs="Segoe UI"/>
                <w:color w:val="333333"/>
                <w:kern w:val="0"/>
                <w:sz w:val="18"/>
                <w:szCs w:val="18"/>
              </w:rPr>
              <w:br/>
              <w:t>Demonstrate the application of and interpret changes in the component parts of the DuPont analysis (the decomposition of return on equity).</w:t>
            </w:r>
            <w:r w:rsidRPr="00AF1567">
              <w:rPr>
                <w:rFonts w:ascii="Segoe UI" w:eastAsia="宋体" w:hAnsi="Segoe UI" w:cs="Segoe UI"/>
                <w:color w:val="333333"/>
                <w:kern w:val="0"/>
                <w:sz w:val="18"/>
                <w:szCs w:val="18"/>
              </w:rPr>
              <w:br/>
            </w:r>
            <w:r w:rsidRPr="00AF156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9"/>
              <w:gridCol w:w="1558"/>
              <w:gridCol w:w="2334"/>
              <w:gridCol w:w="2004"/>
            </w:tblGrid>
            <w:tr w:rsidR="00AF1567" w:rsidRPr="00AF1567">
              <w:trPr>
                <w:tblCellSpacing w:w="15"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w:t>
                  </w:r>
                </w:p>
              </w:tc>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Calculation</w:t>
                  </w:r>
                </w:p>
              </w:tc>
              <w:tc>
                <w:tcPr>
                  <w:tcW w:w="247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Company</w:t>
                  </w:r>
                </w:p>
              </w:tc>
              <w:tc>
                <w:tcPr>
                  <w:tcW w:w="195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Industry</w:t>
                  </w:r>
                </w:p>
              </w:tc>
            </w:tr>
            <w:tr w:rsidR="00AF1567" w:rsidRPr="00AF1567">
              <w:trPr>
                <w:tblCellSpacing w:w="15"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EBIT Margin</w:t>
                  </w:r>
                </w:p>
              </w:tc>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EBIT / Sales</w:t>
                  </w:r>
                </w:p>
              </w:tc>
              <w:tc>
                <w:tcPr>
                  <w:tcW w:w="247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76,000 / 400,000 = </w:t>
                  </w:r>
                  <w:r w:rsidRPr="00AF1567">
                    <w:rPr>
                      <w:rFonts w:ascii="Segoe UI" w:eastAsia="宋体" w:hAnsi="Segoe UI" w:cs="Segoe UI"/>
                      <w:b/>
                      <w:bCs/>
                      <w:color w:val="333333"/>
                      <w:kern w:val="0"/>
                      <w:sz w:val="18"/>
                      <w:szCs w:val="18"/>
                    </w:rPr>
                    <w:t>0.19</w:t>
                  </w:r>
                </w:p>
              </w:tc>
              <w:tc>
                <w:tcPr>
                  <w:tcW w:w="195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28.0 / 100 = </w:t>
                  </w:r>
                  <w:r w:rsidRPr="00AF1567">
                    <w:rPr>
                      <w:rFonts w:ascii="Segoe UI" w:eastAsia="宋体" w:hAnsi="Segoe UI" w:cs="Segoe UI"/>
                      <w:b/>
                      <w:bCs/>
                      <w:color w:val="333333"/>
                      <w:kern w:val="0"/>
                      <w:sz w:val="18"/>
                      <w:szCs w:val="18"/>
                    </w:rPr>
                    <w:t>0.28</w:t>
                  </w:r>
                </w:p>
              </w:tc>
            </w:tr>
            <w:tr w:rsidR="00AF1567" w:rsidRPr="00AF1567">
              <w:trPr>
                <w:tblCellSpacing w:w="15"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Tax Burden ratio</w:t>
                  </w:r>
                </w:p>
              </w:tc>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Net Inc / EBT</w:t>
                  </w:r>
                </w:p>
              </w:tc>
              <w:tc>
                <w:tcPr>
                  <w:tcW w:w="247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44,488 / 66,400 = </w:t>
                  </w:r>
                  <w:r w:rsidRPr="00AF1567">
                    <w:rPr>
                      <w:rFonts w:ascii="Segoe UI" w:eastAsia="宋体" w:hAnsi="Segoe UI" w:cs="Segoe UI"/>
                      <w:b/>
                      <w:bCs/>
                      <w:color w:val="333333"/>
                      <w:kern w:val="0"/>
                      <w:sz w:val="18"/>
                      <w:szCs w:val="18"/>
                    </w:rPr>
                    <w:t>0.67</w:t>
                  </w:r>
                </w:p>
              </w:tc>
              <w:tc>
                <w:tcPr>
                  <w:tcW w:w="195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13.1 / 19.6 = </w:t>
                  </w:r>
                  <w:r w:rsidRPr="00AF1567">
                    <w:rPr>
                      <w:rFonts w:ascii="Segoe UI" w:eastAsia="宋体" w:hAnsi="Segoe UI" w:cs="Segoe UI"/>
                      <w:b/>
                      <w:bCs/>
                      <w:color w:val="333333"/>
                      <w:kern w:val="0"/>
                      <w:sz w:val="18"/>
                      <w:szCs w:val="18"/>
                    </w:rPr>
                    <w:t>0.67</w:t>
                  </w:r>
                </w:p>
              </w:tc>
            </w:tr>
            <w:tr w:rsidR="00AF1567" w:rsidRPr="00AF1567">
              <w:trPr>
                <w:tblCellSpacing w:w="15" w:type="dxa"/>
              </w:trPr>
              <w:tc>
                <w:tcPr>
                  <w:tcW w:w="213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Interest Burden ratio</w:t>
                  </w:r>
                </w:p>
              </w:tc>
              <w:tc>
                <w:tcPr>
                  <w:tcW w:w="159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EBT / EBIT</w:t>
                  </w:r>
                </w:p>
              </w:tc>
              <w:tc>
                <w:tcPr>
                  <w:tcW w:w="2475"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66,400 / 76,000 = </w:t>
                  </w:r>
                  <w:r w:rsidRPr="00AF1567">
                    <w:rPr>
                      <w:rFonts w:ascii="Segoe UI" w:eastAsia="宋体" w:hAnsi="Segoe UI" w:cs="Segoe UI"/>
                      <w:b/>
                      <w:bCs/>
                      <w:color w:val="333333"/>
                      <w:kern w:val="0"/>
                      <w:sz w:val="18"/>
                      <w:szCs w:val="18"/>
                    </w:rPr>
                    <w:t>0.87</w:t>
                  </w:r>
                </w:p>
              </w:tc>
              <w:tc>
                <w:tcPr>
                  <w:tcW w:w="1950" w:type="dxa"/>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center"/>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 xml:space="preserve">19.6 / 28.0 = </w:t>
                  </w:r>
                  <w:r w:rsidRPr="00AF1567">
                    <w:rPr>
                      <w:rFonts w:ascii="Segoe UI" w:eastAsia="宋体" w:hAnsi="Segoe UI" w:cs="Segoe UI"/>
                      <w:b/>
                      <w:bCs/>
                      <w:color w:val="333333"/>
                      <w:kern w:val="0"/>
                      <w:sz w:val="18"/>
                      <w:szCs w:val="18"/>
                    </w:rPr>
                    <w:t>0.70</w:t>
                  </w:r>
                </w:p>
              </w:tc>
            </w:tr>
            <w:tr w:rsidR="00AF1567" w:rsidRPr="00AF1567">
              <w:trPr>
                <w:tblCellSpacing w:w="15" w:type="dxa"/>
              </w:trPr>
              <w:tc>
                <w:tcPr>
                  <w:tcW w:w="8385" w:type="dxa"/>
                  <w:gridSpan w:val="4"/>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color w:val="333333"/>
                      <w:kern w:val="0"/>
                      <w:sz w:val="18"/>
                      <w:szCs w:val="18"/>
                    </w:rPr>
                    <w:t>The company has a higher interest burden ratio but a lower EBIT margin than the industry, and the same tax burden ratio; the lower EBIT margin relative to the industry is the cause of the company's poor relative performance.</w:t>
                  </w:r>
                </w:p>
              </w:tc>
            </w:tr>
            <w:tr w:rsidR="00AF1567" w:rsidRPr="00AF1567">
              <w:trPr>
                <w:tblCellSpacing w:w="15" w:type="dxa"/>
              </w:trPr>
              <w:tc>
                <w:tcPr>
                  <w:tcW w:w="8385" w:type="dxa"/>
                  <w:gridSpan w:val="4"/>
                  <w:tcBorders>
                    <w:top w:val="outset" w:sz="6" w:space="0" w:color="auto"/>
                    <w:left w:val="outset" w:sz="6" w:space="0" w:color="auto"/>
                    <w:bottom w:val="outset" w:sz="6" w:space="0" w:color="auto"/>
                    <w:right w:val="outset" w:sz="6" w:space="0" w:color="auto"/>
                  </w:tcBorders>
                  <w:vAlign w:val="center"/>
                  <w:hideMark/>
                </w:tcPr>
                <w:p w:rsidR="00AF1567" w:rsidRPr="00AF1567" w:rsidRDefault="00AF1567" w:rsidP="00AF1567">
                  <w:pPr>
                    <w:widowControl/>
                    <w:jc w:val="left"/>
                    <w:rPr>
                      <w:rFonts w:ascii="Segoe UI" w:eastAsia="宋体" w:hAnsi="Segoe UI" w:cs="Segoe UI"/>
                      <w:color w:val="333333"/>
                      <w:kern w:val="0"/>
                      <w:sz w:val="18"/>
                      <w:szCs w:val="18"/>
                    </w:rPr>
                  </w:pPr>
                  <w:r w:rsidRPr="00AF1567">
                    <w:rPr>
                      <w:rFonts w:ascii="Segoe UI" w:eastAsia="宋体" w:hAnsi="Segoe UI" w:cs="Segoe UI"/>
                      <w:b/>
                      <w:bCs/>
                      <w:color w:val="333333"/>
                      <w:kern w:val="0"/>
                      <w:sz w:val="18"/>
                      <w:szCs w:val="18"/>
                    </w:rPr>
                    <w:t>EBT:</w:t>
                  </w:r>
                  <w:r w:rsidRPr="00AF1567">
                    <w:rPr>
                      <w:rFonts w:ascii="Segoe UI" w:eastAsia="宋体" w:hAnsi="Segoe UI" w:cs="Segoe UI"/>
                      <w:color w:val="333333"/>
                      <w:kern w:val="0"/>
                      <w:sz w:val="18"/>
                      <w:szCs w:val="18"/>
                    </w:rPr>
                    <w:t xml:space="preserve"> Pretax profit (earnings before tax)     </w:t>
                  </w:r>
                  <w:r w:rsidRPr="00AF1567">
                    <w:rPr>
                      <w:rFonts w:ascii="Segoe UI" w:eastAsia="宋体" w:hAnsi="Segoe UI" w:cs="Segoe UI"/>
                      <w:b/>
                      <w:bCs/>
                      <w:color w:val="333333"/>
                      <w:kern w:val="0"/>
                      <w:sz w:val="18"/>
                      <w:szCs w:val="18"/>
                    </w:rPr>
                    <w:t>Net Inc:</w:t>
                  </w:r>
                  <w:r w:rsidRPr="00AF1567">
                    <w:rPr>
                      <w:rFonts w:ascii="Segoe UI" w:eastAsia="宋体" w:hAnsi="Segoe UI" w:cs="Segoe UI"/>
                      <w:color w:val="333333"/>
                      <w:kern w:val="0"/>
                      <w:sz w:val="18"/>
                      <w:szCs w:val="18"/>
                    </w:rPr>
                    <w:t xml:space="preserve"> Net Income</w:t>
                  </w:r>
                </w:p>
              </w:tc>
            </w:tr>
          </w:tbl>
          <w:p w:rsidR="00AF1567" w:rsidRPr="00AF1567" w:rsidRDefault="00AF1567" w:rsidP="00AF1567">
            <w:pPr>
              <w:widowControl/>
              <w:jc w:val="center"/>
              <w:rPr>
                <w:rFonts w:ascii="Segoe UI" w:eastAsia="宋体" w:hAnsi="Segoe UI" w:cs="Segoe UI"/>
                <w:color w:val="333333"/>
                <w:kern w:val="0"/>
                <w:sz w:val="18"/>
                <w:szCs w:val="18"/>
              </w:rPr>
            </w:pPr>
          </w:p>
        </w:tc>
      </w:tr>
    </w:tbl>
    <w:p w:rsidR="00363A5E" w:rsidRDefault="00363A5E">
      <w:pPr>
        <w:rPr>
          <w:rFonts w:hint="eastAsia"/>
        </w:rPr>
      </w:pPr>
    </w:p>
    <w:tbl>
      <w:tblPr>
        <w:tblW w:w="5000" w:type="pct"/>
        <w:tblCellSpacing w:w="15" w:type="dxa"/>
        <w:tblCellMar>
          <w:top w:w="30" w:type="dxa"/>
          <w:left w:w="30" w:type="dxa"/>
          <w:bottom w:w="30" w:type="dxa"/>
          <w:right w:w="30" w:type="dxa"/>
        </w:tblCellMar>
        <w:tblLook w:val="04A0"/>
      </w:tblPr>
      <w:tblGrid>
        <w:gridCol w:w="420"/>
        <w:gridCol w:w="742"/>
        <w:gridCol w:w="6991"/>
        <w:gridCol w:w="96"/>
        <w:gridCol w:w="96"/>
        <w:gridCol w:w="111"/>
      </w:tblGrid>
      <w:tr w:rsidR="00C7594B" w:rsidRPr="00C7594B" w:rsidTr="00C7594B">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C7594B" w:rsidRPr="00C7594B" w:rsidRDefault="00C7594B" w:rsidP="00C7594B">
            <w:pPr>
              <w:widowControl/>
              <w:jc w:val="left"/>
              <w:rPr>
                <w:rFonts w:ascii="Segoe UI" w:eastAsia="宋体" w:hAnsi="Segoe UI" w:cs="Segoe UI"/>
                <w:b/>
                <w:bCs/>
                <w:color w:val="000000"/>
                <w:kern w:val="0"/>
                <w:sz w:val="18"/>
                <w:szCs w:val="18"/>
              </w:rPr>
            </w:pPr>
            <w:r w:rsidRPr="00C7594B">
              <w:rPr>
                <w:rFonts w:ascii="Segoe UI" w:eastAsia="宋体" w:hAnsi="Segoe UI" w:cs="Segoe UI"/>
                <w:b/>
                <w:bCs/>
                <w:color w:val="000000"/>
                <w:kern w:val="0"/>
                <w:sz w:val="18"/>
                <w:szCs w:val="18"/>
              </w:rPr>
              <w:t>28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C7594B" w:rsidRPr="00C7594B" w:rsidRDefault="00C7594B" w:rsidP="00C7594B">
            <w:pPr>
              <w:widowControl/>
              <w:jc w:val="left"/>
              <w:rPr>
                <w:rFonts w:ascii="Segoe UI" w:eastAsia="宋体" w:hAnsi="Segoe UI" w:cs="Segoe UI"/>
                <w:color w:val="333333"/>
                <w:kern w:val="0"/>
                <w:sz w:val="18"/>
                <w:szCs w:val="18"/>
              </w:rPr>
            </w:pPr>
            <w:r w:rsidRPr="00C7594B">
              <w:rPr>
                <w:rFonts w:ascii="Segoe UI" w:eastAsia="宋体" w:hAnsi="Segoe UI" w:cs="Segoe UI"/>
                <w:color w:val="333333"/>
                <w:kern w:val="0"/>
                <w:sz w:val="18"/>
                <w:szCs w:val="18"/>
              </w:rPr>
              <w:t xml:space="preserve">Which of the following is </w:t>
            </w:r>
            <w:r w:rsidRPr="00C7594B">
              <w:rPr>
                <w:rFonts w:ascii="Segoe UI" w:eastAsia="宋体" w:hAnsi="Segoe UI" w:cs="Segoe UI"/>
                <w:i/>
                <w:iCs/>
                <w:color w:val="333333"/>
                <w:kern w:val="0"/>
                <w:sz w:val="18"/>
                <w:szCs w:val="18"/>
              </w:rPr>
              <w:t>least likely</w:t>
            </w:r>
            <w:r w:rsidRPr="00C7594B">
              <w:rPr>
                <w:rFonts w:ascii="Segoe UI" w:eastAsia="宋体" w:hAnsi="Segoe UI" w:cs="Segoe UI"/>
                <w:color w:val="333333"/>
                <w:kern w:val="0"/>
                <w:sz w:val="18"/>
                <w:szCs w:val="18"/>
              </w:rPr>
              <w:t xml:space="preserve"> to be a fundamental principle in the preparation of financial statements within the IFRS Framework?</w:t>
            </w:r>
          </w:p>
        </w:tc>
      </w:tr>
      <w:tr w:rsidR="00C7594B" w:rsidRPr="00C7594B" w:rsidTr="00C7594B">
        <w:trPr>
          <w:trHeight w:val="525"/>
          <w:tblCellSpacing w:w="15" w:type="dxa"/>
        </w:trPr>
        <w:tc>
          <w:tcPr>
            <w:tcW w:w="375" w:type="dxa"/>
            <w:vAlign w:val="center"/>
            <w:hideMark/>
          </w:tcPr>
          <w:p w:rsidR="00C7594B" w:rsidRPr="00C7594B" w:rsidRDefault="00C7594B" w:rsidP="00C7594B">
            <w:pPr>
              <w:widowControl/>
              <w:jc w:val="left"/>
              <w:rPr>
                <w:rFonts w:ascii="Segoe UI" w:eastAsia="宋体" w:hAnsi="Segoe UI" w:cs="Segoe UI"/>
                <w:color w:val="333333"/>
                <w:kern w:val="0"/>
                <w:sz w:val="18"/>
                <w:szCs w:val="18"/>
              </w:rPr>
            </w:pPr>
            <w:r w:rsidRPr="00C7594B">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7594B" w:rsidRPr="00C7594B" w:rsidRDefault="00C7594B" w:rsidP="00C7594B">
            <w:pPr>
              <w:widowControl/>
              <w:jc w:val="center"/>
              <w:rPr>
                <w:rFonts w:ascii="Segoe UI" w:eastAsia="宋体" w:hAnsi="Segoe UI" w:cs="Segoe UI"/>
                <w:color w:val="000000"/>
                <w:kern w:val="0"/>
                <w:sz w:val="18"/>
                <w:szCs w:val="18"/>
              </w:rPr>
            </w:pPr>
            <w:r w:rsidRPr="00C7594B">
              <w:rPr>
                <w:rFonts w:ascii="Segoe UI" w:eastAsia="宋体" w:hAnsi="Segoe UI" w:cs="Segoe UI"/>
                <w:color w:val="000000"/>
                <w:kern w:val="0"/>
                <w:sz w:val="18"/>
                <w:szCs w:val="18"/>
              </w:rPr>
              <w:object w:dxaOrig="1440" w:dyaOrig="1440">
                <v:shape id="_x0000_i1108" type="#_x0000_t75" style="width:20.25pt;height:15.75pt" o:ole="">
                  <v:imagedata r:id="rId7" o:title=""/>
                </v:shape>
                <w:control r:id="rId33" w:name="DefaultOcxName10" w:shapeid="_x0000_i110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7594B" w:rsidRPr="00C7594B" w:rsidRDefault="00C7594B" w:rsidP="00C7594B">
            <w:pPr>
              <w:widowControl/>
              <w:jc w:val="left"/>
              <w:rPr>
                <w:rFonts w:ascii="Segoe UI" w:eastAsia="宋体" w:hAnsi="Segoe UI" w:cs="Segoe UI"/>
                <w:color w:val="000000"/>
                <w:kern w:val="0"/>
                <w:sz w:val="18"/>
                <w:szCs w:val="18"/>
              </w:rPr>
            </w:pPr>
            <w:r w:rsidRPr="00C7594B">
              <w:rPr>
                <w:rFonts w:ascii="Segoe UI" w:eastAsia="宋体" w:hAnsi="Segoe UI" w:cs="Segoe UI"/>
                <w:b/>
                <w:bCs/>
                <w:color w:val="000000"/>
                <w:kern w:val="0"/>
                <w:sz w:val="18"/>
                <w:szCs w:val="18"/>
              </w:rPr>
              <w:t>A.</w:t>
            </w:r>
            <w:r w:rsidRPr="00C7594B">
              <w:rPr>
                <w:rFonts w:ascii="Segoe UI" w:eastAsia="宋体" w:hAnsi="Segoe UI" w:cs="Segoe UI"/>
                <w:color w:val="000000"/>
                <w:kern w:val="0"/>
                <w:sz w:val="18"/>
                <w:szCs w:val="18"/>
              </w:rPr>
              <w:t xml:space="preserve"> Matching</w:t>
            </w: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r>
      <w:tr w:rsidR="00C7594B" w:rsidRPr="00C7594B" w:rsidTr="00C7594B">
        <w:trPr>
          <w:trHeight w:val="525"/>
          <w:tblCellSpacing w:w="15" w:type="dxa"/>
        </w:trPr>
        <w:tc>
          <w:tcPr>
            <w:tcW w:w="375" w:type="dxa"/>
            <w:vAlign w:val="center"/>
            <w:hideMark/>
          </w:tcPr>
          <w:p w:rsidR="00C7594B" w:rsidRPr="00C7594B" w:rsidRDefault="00C7594B" w:rsidP="00C7594B">
            <w:pPr>
              <w:widowControl/>
              <w:jc w:val="left"/>
              <w:rPr>
                <w:rFonts w:ascii="Segoe UI" w:eastAsia="宋体" w:hAnsi="Segoe UI" w:cs="Segoe UI"/>
                <w:color w:val="333333"/>
                <w:kern w:val="0"/>
                <w:sz w:val="18"/>
                <w:szCs w:val="18"/>
              </w:rPr>
            </w:pPr>
            <w:r w:rsidRPr="00C7594B">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7594B" w:rsidRPr="00C7594B" w:rsidRDefault="00C7594B" w:rsidP="00C7594B">
            <w:pPr>
              <w:widowControl/>
              <w:jc w:val="center"/>
              <w:rPr>
                <w:rFonts w:ascii="Segoe UI" w:eastAsia="宋体" w:hAnsi="Segoe UI" w:cs="Segoe UI"/>
                <w:color w:val="000000"/>
                <w:kern w:val="0"/>
                <w:sz w:val="18"/>
                <w:szCs w:val="18"/>
              </w:rPr>
            </w:pPr>
            <w:r w:rsidRPr="00C7594B">
              <w:rPr>
                <w:rFonts w:ascii="Segoe UI" w:eastAsia="宋体" w:hAnsi="Segoe UI" w:cs="Segoe UI"/>
                <w:color w:val="000000"/>
                <w:kern w:val="0"/>
                <w:sz w:val="18"/>
                <w:szCs w:val="18"/>
              </w:rPr>
              <w:object w:dxaOrig="1440" w:dyaOrig="1440">
                <v:shape id="_x0000_i1107" type="#_x0000_t75" style="width:20.25pt;height:15.75pt" o:ole="">
                  <v:imagedata r:id="rId9" o:title=""/>
                </v:shape>
                <w:control r:id="rId34" w:name="DefaultOcxName18" w:shapeid="_x0000_i11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7594B" w:rsidRPr="00C7594B" w:rsidRDefault="00C7594B" w:rsidP="00C7594B">
            <w:pPr>
              <w:widowControl/>
              <w:jc w:val="left"/>
              <w:rPr>
                <w:rFonts w:ascii="Segoe UI" w:eastAsia="宋体" w:hAnsi="Segoe UI" w:cs="Segoe UI"/>
                <w:color w:val="000000"/>
                <w:kern w:val="0"/>
                <w:sz w:val="18"/>
                <w:szCs w:val="18"/>
              </w:rPr>
            </w:pPr>
            <w:r w:rsidRPr="00C7594B">
              <w:rPr>
                <w:rFonts w:ascii="Segoe UI" w:eastAsia="宋体" w:hAnsi="Segoe UI" w:cs="Segoe UI"/>
                <w:b/>
                <w:bCs/>
                <w:color w:val="000000"/>
                <w:kern w:val="0"/>
                <w:sz w:val="18"/>
                <w:szCs w:val="18"/>
              </w:rPr>
              <w:t>B.</w:t>
            </w:r>
            <w:r w:rsidRPr="00C7594B">
              <w:rPr>
                <w:rFonts w:ascii="Segoe UI" w:eastAsia="宋体" w:hAnsi="Segoe UI" w:cs="Segoe UI"/>
                <w:color w:val="000000"/>
                <w:kern w:val="0"/>
                <w:sz w:val="18"/>
                <w:szCs w:val="18"/>
              </w:rPr>
              <w:t xml:space="preserve"> Materiality</w:t>
            </w: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r>
      <w:tr w:rsidR="00C7594B" w:rsidRPr="00C7594B" w:rsidTr="00C7594B">
        <w:trPr>
          <w:trHeight w:val="525"/>
          <w:tblCellSpacing w:w="15" w:type="dxa"/>
        </w:trPr>
        <w:tc>
          <w:tcPr>
            <w:tcW w:w="375" w:type="dxa"/>
            <w:vAlign w:val="center"/>
            <w:hideMark/>
          </w:tcPr>
          <w:p w:rsidR="00C7594B" w:rsidRPr="00C7594B" w:rsidRDefault="00C7594B" w:rsidP="00C7594B">
            <w:pPr>
              <w:widowControl/>
              <w:jc w:val="left"/>
              <w:rPr>
                <w:rFonts w:ascii="Segoe UI" w:eastAsia="宋体" w:hAnsi="Segoe UI" w:cs="Segoe UI"/>
                <w:color w:val="333333"/>
                <w:kern w:val="0"/>
                <w:sz w:val="18"/>
                <w:szCs w:val="18"/>
              </w:rPr>
            </w:pPr>
            <w:r w:rsidRPr="00C7594B">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7594B" w:rsidRPr="00C7594B" w:rsidRDefault="00C7594B" w:rsidP="00C7594B">
            <w:pPr>
              <w:widowControl/>
              <w:jc w:val="center"/>
              <w:rPr>
                <w:rFonts w:ascii="Segoe UI" w:eastAsia="宋体" w:hAnsi="Segoe UI" w:cs="Segoe UI"/>
                <w:color w:val="000000"/>
                <w:kern w:val="0"/>
                <w:sz w:val="18"/>
                <w:szCs w:val="18"/>
              </w:rPr>
            </w:pPr>
            <w:r w:rsidRPr="00C7594B">
              <w:rPr>
                <w:rFonts w:ascii="Segoe UI" w:eastAsia="宋体" w:hAnsi="Segoe UI" w:cs="Segoe UI"/>
                <w:color w:val="000000"/>
                <w:kern w:val="0"/>
                <w:sz w:val="18"/>
                <w:szCs w:val="18"/>
              </w:rPr>
              <w:object w:dxaOrig="1440" w:dyaOrig="1440">
                <v:shape id="_x0000_i1106" type="#_x0000_t75" style="width:20.25pt;height:15.75pt" o:ole="">
                  <v:imagedata r:id="rId9" o:title=""/>
                </v:shape>
                <w:control r:id="rId35" w:name="DefaultOcxName28" w:shapeid="_x0000_i11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7594B" w:rsidRPr="00C7594B" w:rsidRDefault="00C7594B" w:rsidP="00C7594B">
            <w:pPr>
              <w:widowControl/>
              <w:jc w:val="left"/>
              <w:rPr>
                <w:rFonts w:ascii="Segoe UI" w:eastAsia="宋体" w:hAnsi="Segoe UI" w:cs="Segoe UI"/>
                <w:color w:val="000000"/>
                <w:kern w:val="0"/>
                <w:sz w:val="18"/>
                <w:szCs w:val="18"/>
              </w:rPr>
            </w:pPr>
            <w:r w:rsidRPr="00C7594B">
              <w:rPr>
                <w:rFonts w:ascii="Segoe UI" w:eastAsia="宋体" w:hAnsi="Segoe UI" w:cs="Segoe UI"/>
                <w:b/>
                <w:bCs/>
                <w:color w:val="000000"/>
                <w:kern w:val="0"/>
                <w:sz w:val="18"/>
                <w:szCs w:val="18"/>
              </w:rPr>
              <w:t>C.</w:t>
            </w:r>
            <w:r w:rsidRPr="00C7594B">
              <w:rPr>
                <w:rFonts w:ascii="Segoe UI" w:eastAsia="宋体" w:hAnsi="Segoe UI" w:cs="Segoe UI"/>
                <w:color w:val="000000"/>
                <w:kern w:val="0"/>
                <w:sz w:val="18"/>
                <w:szCs w:val="18"/>
              </w:rPr>
              <w:t xml:space="preserve"> Accrual basis</w:t>
            </w: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c>
          <w:tcPr>
            <w:tcW w:w="0" w:type="auto"/>
            <w:vAlign w:val="center"/>
            <w:hideMark/>
          </w:tcPr>
          <w:p w:rsidR="00C7594B" w:rsidRPr="00C7594B" w:rsidRDefault="00C7594B" w:rsidP="00C7594B">
            <w:pPr>
              <w:widowControl/>
              <w:jc w:val="left"/>
              <w:rPr>
                <w:rFonts w:ascii="Times New Roman" w:eastAsia="Times New Roman" w:hAnsi="Times New Roman" w:cs="Times New Roman"/>
                <w:kern w:val="0"/>
                <w:sz w:val="20"/>
                <w:szCs w:val="20"/>
              </w:rPr>
            </w:pPr>
          </w:p>
        </w:tc>
      </w:tr>
      <w:tr w:rsidR="00C7594B" w:rsidRPr="00C7594B" w:rsidTr="00C7594B">
        <w:trPr>
          <w:trHeight w:val="525"/>
          <w:tblCellSpacing w:w="15" w:type="dxa"/>
        </w:trPr>
        <w:tc>
          <w:tcPr>
            <w:tcW w:w="375" w:type="dxa"/>
            <w:noWrap/>
            <w:vAlign w:val="center"/>
            <w:hideMark/>
          </w:tcPr>
          <w:p w:rsidR="00C7594B" w:rsidRPr="00C7594B" w:rsidRDefault="00C7594B" w:rsidP="00C7594B">
            <w:pPr>
              <w:widowControl/>
              <w:jc w:val="center"/>
              <w:rPr>
                <w:rFonts w:ascii="Segoe UI" w:eastAsia="宋体" w:hAnsi="Segoe UI" w:cs="Segoe UI"/>
                <w:color w:val="333333"/>
                <w:kern w:val="0"/>
                <w:sz w:val="18"/>
                <w:szCs w:val="18"/>
              </w:rPr>
            </w:pPr>
            <w:r w:rsidRPr="00C7594B">
              <w:rPr>
                <w:rFonts w:ascii="Segoe UI" w:eastAsia="宋体" w:hAnsi="Segoe UI" w:cs="Segoe UI"/>
                <w:color w:val="333333"/>
                <w:kern w:val="0"/>
                <w:sz w:val="18"/>
                <w:szCs w:val="18"/>
              </w:rPr>
              <w:t> </w:t>
            </w:r>
          </w:p>
        </w:tc>
        <w:tc>
          <w:tcPr>
            <w:tcW w:w="0" w:type="auto"/>
            <w:gridSpan w:val="5"/>
            <w:shd w:val="clear" w:color="auto" w:fill="9ACD32"/>
            <w:vAlign w:val="center"/>
            <w:hideMark/>
          </w:tcPr>
          <w:p w:rsidR="00C7594B" w:rsidRPr="00C7594B" w:rsidRDefault="00C7594B" w:rsidP="00C7594B">
            <w:pPr>
              <w:widowControl/>
              <w:jc w:val="left"/>
              <w:rPr>
                <w:rFonts w:ascii="Segoe UI" w:eastAsia="宋体" w:hAnsi="Segoe UI" w:cs="Segoe UI"/>
                <w:color w:val="333333"/>
                <w:kern w:val="0"/>
                <w:sz w:val="18"/>
                <w:szCs w:val="18"/>
              </w:rPr>
            </w:pPr>
            <w:r w:rsidRPr="00C7594B">
              <w:rPr>
                <w:rFonts w:ascii="Segoe UI" w:eastAsia="宋体" w:hAnsi="Segoe UI" w:cs="Segoe UI"/>
                <w:b/>
                <w:bCs/>
                <w:color w:val="000080"/>
                <w:kern w:val="0"/>
                <w:sz w:val="16"/>
                <w:szCs w:val="16"/>
              </w:rPr>
              <w:t>Feedback:</w:t>
            </w:r>
            <w:r w:rsidRPr="00C7594B">
              <w:rPr>
                <w:rFonts w:ascii="Segoe UI" w:eastAsia="宋体" w:hAnsi="Segoe UI" w:cs="Segoe UI"/>
                <w:color w:val="333333"/>
                <w:kern w:val="0"/>
                <w:sz w:val="18"/>
                <w:szCs w:val="18"/>
              </w:rPr>
              <w:t xml:space="preserve"> You have answered correctly.</w:t>
            </w:r>
            <w:r w:rsidRPr="00C7594B">
              <w:rPr>
                <w:rFonts w:ascii="Segoe UI" w:eastAsia="宋体" w:hAnsi="Segoe UI" w:cs="Segoe UI"/>
                <w:color w:val="333333"/>
                <w:kern w:val="0"/>
                <w:sz w:val="18"/>
                <w:szCs w:val="18"/>
              </w:rPr>
              <w:br/>
            </w:r>
            <w:r w:rsidRPr="00C7594B">
              <w:rPr>
                <w:rFonts w:ascii="Segoe UI" w:eastAsia="宋体" w:hAnsi="Segoe UI" w:cs="Segoe UI"/>
                <w:color w:val="333333"/>
                <w:kern w:val="0"/>
                <w:sz w:val="18"/>
                <w:szCs w:val="18"/>
              </w:rPr>
              <w:br/>
            </w:r>
            <w:r w:rsidRPr="00C7594B">
              <w:rPr>
                <w:rFonts w:ascii="Segoe UI" w:eastAsia="宋体" w:hAnsi="Segoe UI" w:cs="Segoe UI"/>
                <w:color w:val="333333"/>
                <w:kern w:val="0"/>
                <w:sz w:val="18"/>
                <w:szCs w:val="18"/>
              </w:rPr>
              <w:lastRenderedPageBreak/>
              <w:t xml:space="preserve">Correct answer: </w:t>
            </w:r>
            <w:r w:rsidRPr="00C7594B">
              <w:rPr>
                <w:rFonts w:ascii="Segoe UI" w:eastAsia="宋体" w:hAnsi="Segoe UI" w:cs="Segoe UI"/>
                <w:b/>
                <w:bCs/>
                <w:color w:val="333333"/>
                <w:kern w:val="0"/>
                <w:sz w:val="18"/>
                <w:szCs w:val="18"/>
              </w:rPr>
              <w:t>A</w:t>
            </w:r>
            <w:r w:rsidRPr="00C7594B">
              <w:rPr>
                <w:rFonts w:ascii="Segoe UI" w:eastAsia="宋体" w:hAnsi="Segoe UI" w:cs="Segoe UI"/>
                <w:color w:val="333333"/>
                <w:kern w:val="0"/>
                <w:sz w:val="18"/>
                <w:szCs w:val="18"/>
              </w:rPr>
              <w:br/>
            </w:r>
            <w:r w:rsidRPr="00C7594B">
              <w:rPr>
                <w:rFonts w:ascii="Segoe UI" w:eastAsia="宋体" w:hAnsi="Segoe UI" w:cs="Segoe UI"/>
                <w:color w:val="333333"/>
                <w:kern w:val="0"/>
                <w:sz w:val="18"/>
                <w:szCs w:val="18"/>
              </w:rPr>
              <w:br/>
              <w:t xml:space="preserve">"Financial Reporting Standards," Thomas R. Robinson, CFA, Jan </w:t>
            </w:r>
            <w:proofErr w:type="spellStart"/>
            <w:r w:rsidRPr="00C7594B">
              <w:rPr>
                <w:rFonts w:ascii="Segoe UI" w:eastAsia="宋体" w:hAnsi="Segoe UI" w:cs="Segoe UI"/>
                <w:color w:val="333333"/>
                <w:kern w:val="0"/>
                <w:sz w:val="18"/>
                <w:szCs w:val="18"/>
              </w:rPr>
              <w:t>Hendrik</w:t>
            </w:r>
            <w:proofErr w:type="spellEnd"/>
            <w:r w:rsidRPr="00C7594B">
              <w:rPr>
                <w:rFonts w:ascii="Segoe UI" w:eastAsia="宋体" w:hAnsi="Segoe UI" w:cs="Segoe UI"/>
                <w:color w:val="333333"/>
                <w:kern w:val="0"/>
                <w:sz w:val="18"/>
                <w:szCs w:val="18"/>
              </w:rPr>
              <w:t xml:space="preserve"> van </w:t>
            </w:r>
            <w:proofErr w:type="spellStart"/>
            <w:r w:rsidRPr="00C7594B">
              <w:rPr>
                <w:rFonts w:ascii="Segoe UI" w:eastAsia="宋体" w:hAnsi="Segoe UI" w:cs="Segoe UI"/>
                <w:color w:val="333333"/>
                <w:kern w:val="0"/>
                <w:sz w:val="18"/>
                <w:szCs w:val="18"/>
              </w:rPr>
              <w:t>Greuning</w:t>
            </w:r>
            <w:proofErr w:type="spellEnd"/>
            <w:r w:rsidRPr="00C7594B">
              <w:rPr>
                <w:rFonts w:ascii="Segoe UI" w:eastAsia="宋体" w:hAnsi="Segoe UI" w:cs="Segoe UI"/>
                <w:color w:val="333333"/>
                <w:kern w:val="0"/>
                <w:sz w:val="18"/>
                <w:szCs w:val="18"/>
              </w:rPr>
              <w:t xml:space="preserve">, CFA, Karen O'Connor </w:t>
            </w:r>
            <w:proofErr w:type="spellStart"/>
            <w:r w:rsidRPr="00C7594B">
              <w:rPr>
                <w:rFonts w:ascii="Segoe UI" w:eastAsia="宋体" w:hAnsi="Segoe UI" w:cs="Segoe UI"/>
                <w:color w:val="333333"/>
                <w:kern w:val="0"/>
                <w:sz w:val="18"/>
                <w:szCs w:val="18"/>
              </w:rPr>
              <w:t>Rubsam</w:t>
            </w:r>
            <w:proofErr w:type="spellEnd"/>
            <w:r w:rsidRPr="00C7594B">
              <w:rPr>
                <w:rFonts w:ascii="Segoe UI" w:eastAsia="宋体" w:hAnsi="Segoe UI" w:cs="Segoe UI"/>
                <w:color w:val="333333"/>
                <w:kern w:val="0"/>
                <w:sz w:val="18"/>
                <w:szCs w:val="18"/>
              </w:rPr>
              <w:t xml:space="preserve">, CFA, Elaine Henry, CFA, and Michael A. </w:t>
            </w:r>
            <w:proofErr w:type="spellStart"/>
            <w:r w:rsidRPr="00C7594B">
              <w:rPr>
                <w:rFonts w:ascii="Segoe UI" w:eastAsia="宋体" w:hAnsi="Segoe UI" w:cs="Segoe UI"/>
                <w:color w:val="333333"/>
                <w:kern w:val="0"/>
                <w:sz w:val="18"/>
                <w:szCs w:val="18"/>
              </w:rPr>
              <w:t>Broihahn</w:t>
            </w:r>
            <w:proofErr w:type="spellEnd"/>
            <w:r w:rsidRPr="00C7594B">
              <w:rPr>
                <w:rFonts w:ascii="Segoe UI" w:eastAsia="宋体" w:hAnsi="Segoe UI" w:cs="Segoe UI"/>
                <w:color w:val="333333"/>
                <w:kern w:val="0"/>
                <w:sz w:val="18"/>
                <w:szCs w:val="18"/>
              </w:rPr>
              <w:t>, CFA</w:t>
            </w:r>
            <w:r w:rsidRPr="00C7594B">
              <w:rPr>
                <w:rFonts w:ascii="Segoe UI" w:eastAsia="宋体" w:hAnsi="Segoe UI" w:cs="Segoe UI"/>
                <w:color w:val="333333"/>
                <w:kern w:val="0"/>
                <w:sz w:val="18"/>
                <w:szCs w:val="18"/>
              </w:rPr>
              <w:br/>
              <w:t>2011 Modular Level I, Vol. 3, p. 113</w:t>
            </w:r>
            <w:r w:rsidRPr="00C7594B">
              <w:rPr>
                <w:rFonts w:ascii="Segoe UI" w:eastAsia="宋体" w:hAnsi="Segoe UI" w:cs="Segoe UI"/>
                <w:color w:val="333333"/>
                <w:kern w:val="0"/>
                <w:sz w:val="18"/>
                <w:szCs w:val="18"/>
              </w:rPr>
              <w:br/>
              <w:t xml:space="preserve">"Understanding the Income Statement," Thomas R. Robinson, CFA, Jan </w:t>
            </w:r>
            <w:proofErr w:type="spellStart"/>
            <w:r w:rsidRPr="00C7594B">
              <w:rPr>
                <w:rFonts w:ascii="Segoe UI" w:eastAsia="宋体" w:hAnsi="Segoe UI" w:cs="Segoe UI"/>
                <w:color w:val="333333"/>
                <w:kern w:val="0"/>
                <w:sz w:val="18"/>
                <w:szCs w:val="18"/>
              </w:rPr>
              <w:t>Hendrik</w:t>
            </w:r>
            <w:proofErr w:type="spellEnd"/>
            <w:r w:rsidRPr="00C7594B">
              <w:rPr>
                <w:rFonts w:ascii="Segoe UI" w:eastAsia="宋体" w:hAnsi="Segoe UI" w:cs="Segoe UI"/>
                <w:color w:val="333333"/>
                <w:kern w:val="0"/>
                <w:sz w:val="18"/>
                <w:szCs w:val="18"/>
              </w:rPr>
              <w:t xml:space="preserve"> van </w:t>
            </w:r>
            <w:proofErr w:type="spellStart"/>
            <w:r w:rsidRPr="00C7594B">
              <w:rPr>
                <w:rFonts w:ascii="Segoe UI" w:eastAsia="宋体" w:hAnsi="Segoe UI" w:cs="Segoe UI"/>
                <w:color w:val="333333"/>
                <w:kern w:val="0"/>
                <w:sz w:val="18"/>
                <w:szCs w:val="18"/>
              </w:rPr>
              <w:t>Greuning</w:t>
            </w:r>
            <w:proofErr w:type="spellEnd"/>
            <w:r w:rsidRPr="00C7594B">
              <w:rPr>
                <w:rFonts w:ascii="Segoe UI" w:eastAsia="宋体" w:hAnsi="Segoe UI" w:cs="Segoe UI"/>
                <w:color w:val="333333"/>
                <w:kern w:val="0"/>
                <w:sz w:val="18"/>
                <w:szCs w:val="18"/>
              </w:rPr>
              <w:t xml:space="preserve">, CFA, Elaine Henry, CFA, and Michael A. </w:t>
            </w:r>
            <w:proofErr w:type="spellStart"/>
            <w:r w:rsidRPr="00C7594B">
              <w:rPr>
                <w:rFonts w:ascii="Segoe UI" w:eastAsia="宋体" w:hAnsi="Segoe UI" w:cs="Segoe UI"/>
                <w:color w:val="333333"/>
                <w:kern w:val="0"/>
                <w:sz w:val="18"/>
                <w:szCs w:val="18"/>
              </w:rPr>
              <w:t>Broihahn</w:t>
            </w:r>
            <w:proofErr w:type="spellEnd"/>
            <w:r w:rsidRPr="00C7594B">
              <w:rPr>
                <w:rFonts w:ascii="Segoe UI" w:eastAsia="宋体" w:hAnsi="Segoe UI" w:cs="Segoe UI"/>
                <w:color w:val="333333"/>
                <w:kern w:val="0"/>
                <w:sz w:val="18"/>
                <w:szCs w:val="18"/>
              </w:rPr>
              <w:t>, CFA</w:t>
            </w:r>
            <w:r w:rsidRPr="00C7594B">
              <w:rPr>
                <w:rFonts w:ascii="Segoe UI" w:eastAsia="宋体" w:hAnsi="Segoe UI" w:cs="Segoe UI"/>
                <w:color w:val="333333"/>
                <w:kern w:val="0"/>
                <w:sz w:val="18"/>
                <w:szCs w:val="18"/>
              </w:rPr>
              <w:br/>
              <w:t>2011 Modular Level I, Vol. 3, p. 156</w:t>
            </w:r>
            <w:r w:rsidRPr="00C7594B">
              <w:rPr>
                <w:rFonts w:ascii="Segoe UI" w:eastAsia="宋体" w:hAnsi="Segoe UI" w:cs="Segoe UI"/>
                <w:color w:val="333333"/>
                <w:kern w:val="0"/>
                <w:sz w:val="18"/>
                <w:szCs w:val="18"/>
              </w:rPr>
              <w:br/>
              <w:t>Study Sessions 8–31–e, 8–32–c</w:t>
            </w:r>
            <w:r w:rsidRPr="00C7594B">
              <w:rPr>
                <w:rFonts w:ascii="Segoe UI" w:eastAsia="宋体" w:hAnsi="Segoe UI" w:cs="Segoe UI"/>
                <w:color w:val="333333"/>
                <w:kern w:val="0"/>
                <w:sz w:val="18"/>
                <w:szCs w:val="18"/>
              </w:rPr>
              <w:br/>
              <w:t>Explain the general requirements for financial statements.</w:t>
            </w:r>
            <w:r w:rsidRPr="00C7594B">
              <w:rPr>
                <w:rFonts w:ascii="Segoe UI" w:eastAsia="宋体" w:hAnsi="Segoe UI" w:cs="Segoe UI"/>
                <w:color w:val="333333"/>
                <w:kern w:val="0"/>
                <w:sz w:val="18"/>
                <w:szCs w:val="18"/>
              </w:rPr>
              <w:br/>
              <w:t>Discuss the general principles of expense recognition, such as the matching principle, specific expense recognition applications (including depreciation of long-term assets and inventory methods), and the implications of expense recognition principles for financial analysis.</w:t>
            </w:r>
            <w:r w:rsidRPr="00C7594B">
              <w:rPr>
                <w:rFonts w:ascii="Segoe UI" w:eastAsia="宋体" w:hAnsi="Segoe UI" w:cs="Segoe UI"/>
                <w:color w:val="333333"/>
                <w:kern w:val="0"/>
                <w:sz w:val="18"/>
                <w:szCs w:val="18"/>
              </w:rPr>
              <w:br/>
            </w:r>
            <w:r w:rsidRPr="00C7594B">
              <w:rPr>
                <w:rFonts w:ascii="Segoe UI" w:eastAsia="宋体" w:hAnsi="Segoe UI" w:cs="Segoe UI"/>
                <w:color w:val="333333"/>
                <w:kern w:val="0"/>
                <w:sz w:val="18"/>
                <w:szCs w:val="18"/>
              </w:rPr>
              <w:br/>
              <w:t>The five fundamental principles underlying the preparation of financial statements under the IFRS Framework are fair presentation, going concern, accrual basis, consistency, and materiality. Matching is a general principle of expense recognition. </w:t>
            </w:r>
          </w:p>
        </w:tc>
      </w:tr>
    </w:tbl>
    <w:p w:rsidR="00AF1567" w:rsidRDefault="00AF1567">
      <w:pPr>
        <w:rPr>
          <w:rFonts w:hint="eastAsia"/>
        </w:rPr>
      </w:pPr>
    </w:p>
    <w:tbl>
      <w:tblPr>
        <w:tblW w:w="5000" w:type="pct"/>
        <w:tblCellSpacing w:w="15" w:type="dxa"/>
        <w:tblCellMar>
          <w:top w:w="30" w:type="dxa"/>
          <w:left w:w="30" w:type="dxa"/>
          <w:bottom w:w="30" w:type="dxa"/>
          <w:right w:w="30" w:type="dxa"/>
        </w:tblCellMar>
        <w:tblLook w:val="04A0"/>
      </w:tblPr>
      <w:tblGrid>
        <w:gridCol w:w="420"/>
        <w:gridCol w:w="765"/>
        <w:gridCol w:w="6968"/>
        <w:gridCol w:w="96"/>
        <w:gridCol w:w="96"/>
        <w:gridCol w:w="111"/>
      </w:tblGrid>
      <w:tr w:rsidR="00B5389D" w:rsidRPr="00B5389D" w:rsidTr="00B5389D">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B5389D" w:rsidRPr="00B5389D" w:rsidRDefault="00B5389D" w:rsidP="00B5389D">
            <w:pPr>
              <w:widowControl/>
              <w:jc w:val="left"/>
              <w:rPr>
                <w:rFonts w:ascii="Segoe UI" w:eastAsia="宋体" w:hAnsi="Segoe UI" w:cs="Segoe UI"/>
                <w:b/>
                <w:bCs/>
                <w:color w:val="000000"/>
                <w:kern w:val="0"/>
                <w:sz w:val="18"/>
                <w:szCs w:val="18"/>
              </w:rPr>
            </w:pPr>
            <w:r w:rsidRPr="00B5389D">
              <w:rPr>
                <w:rFonts w:ascii="Segoe UI" w:eastAsia="宋体" w:hAnsi="Segoe UI" w:cs="Segoe UI"/>
                <w:b/>
                <w:bCs/>
                <w:color w:val="000000"/>
                <w:kern w:val="0"/>
                <w:sz w:val="18"/>
                <w:szCs w:val="18"/>
              </w:rPr>
              <w:t>29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The following information is available about a company:</w:t>
            </w:r>
            <w:r w:rsidRPr="00B5389D">
              <w:rPr>
                <w:rFonts w:ascii="Segoe UI" w:eastAsia="宋体" w:hAnsi="Segoe UI" w:cs="Segoe UI"/>
                <w:color w:val="333333"/>
                <w:kern w:val="0"/>
                <w:sz w:val="18"/>
                <w:szCs w:val="18"/>
              </w:rPr>
              <w:br/>
            </w:r>
            <w:r w:rsidRPr="00B5389D">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0"/>
              <w:gridCol w:w="1506"/>
              <w:gridCol w:w="1279"/>
            </w:tblGrid>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(all figures in $ thousands)</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b/>
                      <w:bCs/>
                      <w:color w:val="333333"/>
                      <w:kern w:val="0"/>
                      <w:sz w:val="18"/>
                      <w:szCs w:val="18"/>
                    </w:rPr>
                    <w:t>2010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b/>
                      <w:bCs/>
                      <w:color w:val="333333"/>
                      <w:kern w:val="0"/>
                      <w:sz w:val="18"/>
                      <w:szCs w:val="18"/>
                    </w:rPr>
                    <w:t>2009</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Deferred tax assets</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200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160</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Deferred tax liabilities</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u w:val="single"/>
                    </w:rPr>
                    <w:t>(450)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u w:val="single"/>
                    </w:rPr>
                    <w:t>(360)</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Net deferred tax liabilities</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(250)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(200)</w:t>
                  </w:r>
                </w:p>
              </w:tc>
            </w:tr>
            <w:tr w:rsidR="00B5389D" w:rsidRPr="00B5389D">
              <w:trPr>
                <w:tblCellSpacing w:w="15" w:type="dxa"/>
              </w:trPr>
              <w:tc>
                <w:tcPr>
                  <w:tcW w:w="4815" w:type="dxa"/>
                  <w:gridSpan w:val="3"/>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 </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Earnings before taxes</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4,000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3,800</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Income taxes at the statutory rate</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1,200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1,140</w:t>
                  </w:r>
                </w:p>
              </w:tc>
            </w:tr>
            <w:tr w:rsidR="00B5389D" w:rsidRPr="00B5389D">
              <w:trPr>
                <w:tblCellSpacing w:w="15" w:type="dxa"/>
              </w:trPr>
              <w:tc>
                <w:tcPr>
                  <w:tcW w:w="313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Income tax payable (Current</w:t>
                  </w:r>
                  <w:r w:rsidRPr="00B5389D">
                    <w:rPr>
                      <w:rFonts w:ascii="Segoe UI" w:eastAsia="宋体" w:hAnsi="Segoe UI" w:cs="Segoe UI"/>
                      <w:color w:val="333333"/>
                      <w:kern w:val="0"/>
                      <w:sz w:val="18"/>
                      <w:szCs w:val="18"/>
                    </w:rPr>
                    <w:br/>
                    <w:t>income tax expense)</w:t>
                  </w:r>
                </w:p>
              </w:tc>
              <w:tc>
                <w:tcPr>
                  <w:tcW w:w="91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1,000</w:t>
                  </w:r>
                </w:p>
              </w:tc>
              <w:tc>
                <w:tcPr>
                  <w:tcW w:w="765" w:type="dxa"/>
                  <w:tcBorders>
                    <w:top w:val="outset" w:sz="6" w:space="0" w:color="auto"/>
                    <w:left w:val="outset" w:sz="6" w:space="0" w:color="auto"/>
                    <w:bottom w:val="outset" w:sz="6" w:space="0" w:color="auto"/>
                    <w:right w:val="outset" w:sz="6" w:space="0" w:color="auto"/>
                  </w:tcBorders>
                  <w:vAlign w:val="center"/>
                  <w:hideMark/>
                </w:tcPr>
                <w:p w:rsidR="00B5389D" w:rsidRPr="00B5389D" w:rsidRDefault="00B5389D" w:rsidP="00B5389D">
                  <w:pPr>
                    <w:widowControl/>
                    <w:jc w:val="righ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900</w:t>
                  </w:r>
                </w:p>
              </w:tc>
            </w:tr>
          </w:tbl>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br/>
              <w:t xml:space="preserve">The company’s 2010 income tax expense (in thousands) is </w:t>
            </w:r>
            <w:r w:rsidRPr="00B5389D">
              <w:rPr>
                <w:rFonts w:ascii="Segoe UI" w:eastAsia="宋体" w:hAnsi="Segoe UI" w:cs="Segoe UI"/>
                <w:i/>
                <w:iCs/>
                <w:color w:val="333333"/>
                <w:kern w:val="0"/>
                <w:sz w:val="18"/>
                <w:szCs w:val="18"/>
              </w:rPr>
              <w:t>closest</w:t>
            </w:r>
            <w:r w:rsidRPr="00B5389D">
              <w:rPr>
                <w:rFonts w:ascii="Segoe UI" w:eastAsia="宋体" w:hAnsi="Segoe UI" w:cs="Segoe UI"/>
                <w:color w:val="333333"/>
                <w:kern w:val="0"/>
                <w:sz w:val="18"/>
                <w:szCs w:val="18"/>
              </w:rPr>
              <w:t xml:space="preserve"> to:</w:t>
            </w:r>
          </w:p>
        </w:tc>
      </w:tr>
      <w:tr w:rsidR="00B5389D" w:rsidRPr="00B5389D" w:rsidTr="00B5389D">
        <w:trPr>
          <w:trHeight w:val="525"/>
          <w:tblCellSpacing w:w="15" w:type="dxa"/>
        </w:trPr>
        <w:tc>
          <w:tcPr>
            <w:tcW w:w="375" w:type="dxa"/>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389D" w:rsidRPr="00B5389D" w:rsidRDefault="00B5389D" w:rsidP="00B5389D">
            <w:pPr>
              <w:widowControl/>
              <w:jc w:val="center"/>
              <w:rPr>
                <w:rFonts w:ascii="Segoe UI" w:eastAsia="宋体" w:hAnsi="Segoe UI" w:cs="Segoe UI"/>
                <w:color w:val="000000"/>
                <w:kern w:val="0"/>
                <w:sz w:val="18"/>
                <w:szCs w:val="18"/>
              </w:rPr>
            </w:pPr>
            <w:r w:rsidRPr="00B5389D">
              <w:rPr>
                <w:rFonts w:ascii="Segoe UI" w:eastAsia="宋体" w:hAnsi="Segoe UI" w:cs="Segoe UI"/>
                <w:color w:val="000000"/>
                <w:kern w:val="0"/>
                <w:sz w:val="18"/>
                <w:szCs w:val="18"/>
              </w:rPr>
              <w:object w:dxaOrig="1440" w:dyaOrig="1440">
                <v:shape id="_x0000_i1117" type="#_x0000_t75" style="width:20.25pt;height:15.75pt" o:ole="">
                  <v:imagedata r:id="rId7" o:title=""/>
                </v:shape>
                <w:control r:id="rId36" w:name="DefaultOcxName20" w:shapeid="_x0000_i111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389D" w:rsidRPr="00B5389D" w:rsidRDefault="00B5389D" w:rsidP="00B5389D">
            <w:pPr>
              <w:widowControl/>
              <w:jc w:val="left"/>
              <w:rPr>
                <w:rFonts w:ascii="Segoe UI" w:eastAsia="宋体" w:hAnsi="Segoe UI" w:cs="Segoe UI"/>
                <w:color w:val="000000"/>
                <w:kern w:val="0"/>
                <w:sz w:val="18"/>
                <w:szCs w:val="18"/>
              </w:rPr>
            </w:pPr>
            <w:r w:rsidRPr="00B5389D">
              <w:rPr>
                <w:rFonts w:ascii="Segoe UI" w:eastAsia="宋体" w:hAnsi="Segoe UI" w:cs="Segoe UI"/>
                <w:b/>
                <w:bCs/>
                <w:color w:val="000000"/>
                <w:kern w:val="0"/>
                <w:sz w:val="18"/>
                <w:szCs w:val="18"/>
              </w:rPr>
              <w:t>A.</w:t>
            </w:r>
            <w:r w:rsidRPr="00B5389D">
              <w:rPr>
                <w:rFonts w:ascii="Segoe UI" w:eastAsia="宋体" w:hAnsi="Segoe UI" w:cs="Segoe UI"/>
                <w:color w:val="000000"/>
                <w:kern w:val="0"/>
                <w:sz w:val="18"/>
                <w:szCs w:val="18"/>
              </w:rPr>
              <w:t xml:space="preserve"> $1,000.</w:t>
            </w: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r>
      <w:tr w:rsidR="00B5389D" w:rsidRPr="00B5389D" w:rsidTr="00B5389D">
        <w:trPr>
          <w:trHeight w:val="525"/>
          <w:tblCellSpacing w:w="15" w:type="dxa"/>
        </w:trPr>
        <w:tc>
          <w:tcPr>
            <w:tcW w:w="375" w:type="dxa"/>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389D" w:rsidRPr="00B5389D" w:rsidRDefault="00B5389D" w:rsidP="00B5389D">
            <w:pPr>
              <w:widowControl/>
              <w:jc w:val="center"/>
              <w:rPr>
                <w:rFonts w:ascii="Segoe UI" w:eastAsia="宋体" w:hAnsi="Segoe UI" w:cs="Segoe UI"/>
                <w:color w:val="000000"/>
                <w:kern w:val="0"/>
                <w:sz w:val="18"/>
                <w:szCs w:val="18"/>
              </w:rPr>
            </w:pPr>
            <w:r w:rsidRPr="00B5389D">
              <w:rPr>
                <w:rFonts w:ascii="Segoe UI" w:eastAsia="宋体" w:hAnsi="Segoe UI" w:cs="Segoe UI"/>
                <w:color w:val="000000"/>
                <w:kern w:val="0"/>
                <w:sz w:val="18"/>
                <w:szCs w:val="18"/>
              </w:rPr>
              <w:object w:dxaOrig="1440" w:dyaOrig="1440">
                <v:shape id="_x0000_i1116" type="#_x0000_t75" style="width:20.25pt;height:15.75pt" o:ole="">
                  <v:imagedata r:id="rId9" o:title=""/>
                </v:shape>
                <w:control r:id="rId37" w:name="DefaultOcxName19" w:shapeid="_x0000_i11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389D" w:rsidRPr="00B5389D" w:rsidRDefault="00B5389D" w:rsidP="00B5389D">
            <w:pPr>
              <w:widowControl/>
              <w:jc w:val="left"/>
              <w:rPr>
                <w:rFonts w:ascii="Segoe UI" w:eastAsia="宋体" w:hAnsi="Segoe UI" w:cs="Segoe UI"/>
                <w:color w:val="000000"/>
                <w:kern w:val="0"/>
                <w:sz w:val="18"/>
                <w:szCs w:val="18"/>
              </w:rPr>
            </w:pPr>
            <w:r w:rsidRPr="00B5389D">
              <w:rPr>
                <w:rFonts w:ascii="Segoe UI" w:eastAsia="宋体" w:hAnsi="Segoe UI" w:cs="Segoe UI"/>
                <w:b/>
                <w:bCs/>
                <w:color w:val="000000"/>
                <w:kern w:val="0"/>
                <w:sz w:val="18"/>
                <w:szCs w:val="18"/>
              </w:rPr>
              <w:t>B.</w:t>
            </w:r>
            <w:r w:rsidRPr="00B5389D">
              <w:rPr>
                <w:rFonts w:ascii="Segoe UI" w:eastAsia="宋体" w:hAnsi="Segoe UI" w:cs="Segoe UI"/>
                <w:color w:val="000000"/>
                <w:kern w:val="0"/>
                <w:sz w:val="18"/>
                <w:szCs w:val="18"/>
              </w:rPr>
              <w:t xml:space="preserve"> $1,050.</w:t>
            </w: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r>
      <w:tr w:rsidR="00B5389D" w:rsidRPr="00B5389D" w:rsidTr="00B5389D">
        <w:trPr>
          <w:trHeight w:val="525"/>
          <w:tblCellSpacing w:w="15" w:type="dxa"/>
        </w:trPr>
        <w:tc>
          <w:tcPr>
            <w:tcW w:w="375" w:type="dxa"/>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B5389D" w:rsidRPr="00B5389D" w:rsidRDefault="00B5389D" w:rsidP="00B5389D">
            <w:pPr>
              <w:widowControl/>
              <w:jc w:val="center"/>
              <w:rPr>
                <w:rFonts w:ascii="Segoe UI" w:eastAsia="宋体" w:hAnsi="Segoe UI" w:cs="Segoe UI"/>
                <w:color w:val="000000"/>
                <w:kern w:val="0"/>
                <w:sz w:val="18"/>
                <w:szCs w:val="18"/>
              </w:rPr>
            </w:pPr>
            <w:r w:rsidRPr="00B5389D">
              <w:rPr>
                <w:rFonts w:ascii="Segoe UI" w:eastAsia="宋体" w:hAnsi="Segoe UI" w:cs="Segoe UI"/>
                <w:color w:val="000000"/>
                <w:kern w:val="0"/>
                <w:sz w:val="18"/>
                <w:szCs w:val="18"/>
              </w:rPr>
              <w:object w:dxaOrig="1440" w:dyaOrig="1440">
                <v:shape id="_x0000_i1115" type="#_x0000_t75" style="width:20.25pt;height:15.75pt" o:ole="">
                  <v:imagedata r:id="rId9" o:title=""/>
                </v:shape>
                <w:control r:id="rId38" w:name="DefaultOcxName29" w:shapeid="_x0000_i111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B5389D" w:rsidRPr="00B5389D" w:rsidRDefault="00B5389D" w:rsidP="00B5389D">
            <w:pPr>
              <w:widowControl/>
              <w:jc w:val="left"/>
              <w:rPr>
                <w:rFonts w:ascii="Segoe UI" w:eastAsia="宋体" w:hAnsi="Segoe UI" w:cs="Segoe UI"/>
                <w:color w:val="000000"/>
                <w:kern w:val="0"/>
                <w:sz w:val="18"/>
                <w:szCs w:val="18"/>
              </w:rPr>
            </w:pPr>
            <w:r w:rsidRPr="00B5389D">
              <w:rPr>
                <w:rFonts w:ascii="Segoe UI" w:eastAsia="宋体" w:hAnsi="Segoe UI" w:cs="Segoe UI"/>
                <w:b/>
                <w:bCs/>
                <w:color w:val="000000"/>
                <w:kern w:val="0"/>
                <w:sz w:val="18"/>
                <w:szCs w:val="18"/>
              </w:rPr>
              <w:t>C.</w:t>
            </w:r>
            <w:r w:rsidRPr="00B5389D">
              <w:rPr>
                <w:rFonts w:ascii="Segoe UI" w:eastAsia="宋体" w:hAnsi="Segoe UI" w:cs="Segoe UI"/>
                <w:color w:val="000000"/>
                <w:kern w:val="0"/>
                <w:sz w:val="18"/>
                <w:szCs w:val="18"/>
              </w:rPr>
              <w:t xml:space="preserve"> $1,250.</w:t>
            </w: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c>
          <w:tcPr>
            <w:tcW w:w="0" w:type="auto"/>
            <w:vAlign w:val="center"/>
            <w:hideMark/>
          </w:tcPr>
          <w:p w:rsidR="00B5389D" w:rsidRPr="00B5389D" w:rsidRDefault="00B5389D" w:rsidP="00B5389D">
            <w:pPr>
              <w:widowControl/>
              <w:jc w:val="left"/>
              <w:rPr>
                <w:rFonts w:ascii="Times New Roman" w:eastAsia="Times New Roman" w:hAnsi="Times New Roman" w:cs="Times New Roman"/>
                <w:kern w:val="0"/>
                <w:sz w:val="20"/>
                <w:szCs w:val="20"/>
              </w:rPr>
            </w:pPr>
          </w:p>
        </w:tc>
      </w:tr>
      <w:tr w:rsidR="00B5389D" w:rsidRPr="00B5389D" w:rsidTr="00B5389D">
        <w:trPr>
          <w:trHeight w:val="525"/>
          <w:tblCellSpacing w:w="15" w:type="dxa"/>
        </w:trPr>
        <w:tc>
          <w:tcPr>
            <w:tcW w:w="375" w:type="dxa"/>
            <w:noWrap/>
            <w:vAlign w:val="center"/>
            <w:hideMark/>
          </w:tcPr>
          <w:p w:rsidR="00B5389D" w:rsidRPr="00B5389D" w:rsidRDefault="00B5389D" w:rsidP="00B5389D">
            <w:pPr>
              <w:widowControl/>
              <w:jc w:val="center"/>
              <w:rPr>
                <w:rFonts w:ascii="Segoe UI" w:eastAsia="宋体" w:hAnsi="Segoe UI" w:cs="Segoe UI"/>
                <w:color w:val="333333"/>
                <w:kern w:val="0"/>
                <w:sz w:val="18"/>
                <w:szCs w:val="18"/>
              </w:rPr>
            </w:pPr>
            <w:r w:rsidRPr="00B5389D">
              <w:rPr>
                <w:rFonts w:ascii="Segoe UI" w:eastAsia="宋体" w:hAnsi="Segoe UI" w:cs="Segoe UI"/>
                <w:color w:val="333333"/>
                <w:kern w:val="0"/>
                <w:sz w:val="18"/>
                <w:szCs w:val="18"/>
              </w:rPr>
              <w:t> </w:t>
            </w:r>
          </w:p>
        </w:tc>
        <w:tc>
          <w:tcPr>
            <w:tcW w:w="0" w:type="auto"/>
            <w:gridSpan w:val="5"/>
            <w:shd w:val="clear" w:color="auto" w:fill="FF6347"/>
            <w:vAlign w:val="center"/>
            <w:hideMark/>
          </w:tcPr>
          <w:p w:rsidR="00B5389D" w:rsidRPr="00B5389D" w:rsidRDefault="00B5389D" w:rsidP="00B5389D">
            <w:pPr>
              <w:widowControl/>
              <w:jc w:val="left"/>
              <w:rPr>
                <w:rFonts w:ascii="Segoe UI" w:eastAsia="宋体" w:hAnsi="Segoe UI" w:cs="Segoe UI"/>
                <w:color w:val="333333"/>
                <w:kern w:val="0"/>
                <w:sz w:val="18"/>
                <w:szCs w:val="18"/>
              </w:rPr>
            </w:pPr>
            <w:r w:rsidRPr="00B5389D">
              <w:rPr>
                <w:rFonts w:ascii="Segoe UI" w:eastAsia="宋体" w:hAnsi="Segoe UI" w:cs="Segoe UI"/>
                <w:b/>
                <w:bCs/>
                <w:color w:val="000080"/>
                <w:kern w:val="0"/>
                <w:sz w:val="16"/>
                <w:szCs w:val="16"/>
              </w:rPr>
              <w:t>Feedback:</w:t>
            </w:r>
            <w:r w:rsidRPr="00B5389D">
              <w:rPr>
                <w:rFonts w:ascii="Segoe UI" w:eastAsia="宋体" w:hAnsi="Segoe UI" w:cs="Segoe UI"/>
                <w:color w:val="333333"/>
                <w:kern w:val="0"/>
                <w:sz w:val="18"/>
                <w:szCs w:val="18"/>
              </w:rPr>
              <w:t xml:space="preserve"> You have answered incorrectly.</w:t>
            </w:r>
            <w:r w:rsidRPr="00B5389D">
              <w:rPr>
                <w:rFonts w:ascii="Segoe UI" w:eastAsia="宋体" w:hAnsi="Segoe UI" w:cs="Segoe UI"/>
                <w:color w:val="333333"/>
                <w:kern w:val="0"/>
                <w:sz w:val="18"/>
                <w:szCs w:val="18"/>
              </w:rPr>
              <w:br/>
            </w:r>
            <w:r w:rsidRPr="00B5389D">
              <w:rPr>
                <w:rFonts w:ascii="Segoe UI" w:eastAsia="宋体" w:hAnsi="Segoe UI" w:cs="Segoe UI"/>
                <w:color w:val="333333"/>
                <w:kern w:val="0"/>
                <w:sz w:val="18"/>
                <w:szCs w:val="18"/>
              </w:rPr>
              <w:lastRenderedPageBreak/>
              <w:br/>
              <w:t xml:space="preserve">Correct answer: </w:t>
            </w:r>
            <w:r w:rsidRPr="00B5389D">
              <w:rPr>
                <w:rFonts w:ascii="Segoe UI" w:eastAsia="宋体" w:hAnsi="Segoe UI" w:cs="Segoe UI"/>
                <w:b/>
                <w:bCs/>
                <w:color w:val="333333"/>
                <w:kern w:val="0"/>
                <w:sz w:val="18"/>
                <w:szCs w:val="18"/>
              </w:rPr>
              <w:t>B</w:t>
            </w:r>
            <w:r w:rsidRPr="00B5389D">
              <w:rPr>
                <w:rFonts w:ascii="Segoe UI" w:eastAsia="宋体" w:hAnsi="Segoe UI" w:cs="Segoe UI"/>
                <w:color w:val="333333"/>
                <w:kern w:val="0"/>
                <w:sz w:val="18"/>
                <w:szCs w:val="18"/>
              </w:rPr>
              <w:br/>
            </w:r>
            <w:r w:rsidRPr="00B5389D">
              <w:rPr>
                <w:rFonts w:ascii="Segoe UI" w:eastAsia="宋体" w:hAnsi="Segoe UI" w:cs="Segoe UI"/>
                <w:color w:val="333333"/>
                <w:kern w:val="0"/>
                <w:sz w:val="18"/>
                <w:szCs w:val="18"/>
              </w:rPr>
              <w:br/>
              <w:t xml:space="preserve">"Income Taxes," </w:t>
            </w:r>
            <w:proofErr w:type="spellStart"/>
            <w:r w:rsidRPr="00B5389D">
              <w:rPr>
                <w:rFonts w:ascii="Segoe UI" w:eastAsia="宋体" w:hAnsi="Segoe UI" w:cs="Segoe UI"/>
                <w:color w:val="333333"/>
                <w:kern w:val="0"/>
                <w:sz w:val="18"/>
                <w:szCs w:val="18"/>
              </w:rPr>
              <w:t>Elbie</w:t>
            </w:r>
            <w:proofErr w:type="spellEnd"/>
            <w:r w:rsidRPr="00B5389D">
              <w:rPr>
                <w:rFonts w:ascii="Segoe UI" w:eastAsia="宋体" w:hAnsi="Segoe UI" w:cs="Segoe UI"/>
                <w:color w:val="333333"/>
                <w:kern w:val="0"/>
                <w:sz w:val="18"/>
                <w:szCs w:val="18"/>
              </w:rPr>
              <w:t xml:space="preserve"> </w:t>
            </w:r>
            <w:proofErr w:type="spellStart"/>
            <w:r w:rsidRPr="00B5389D">
              <w:rPr>
                <w:rFonts w:ascii="Segoe UI" w:eastAsia="宋体" w:hAnsi="Segoe UI" w:cs="Segoe UI"/>
                <w:color w:val="333333"/>
                <w:kern w:val="0"/>
                <w:sz w:val="18"/>
                <w:szCs w:val="18"/>
              </w:rPr>
              <w:t>Antonites</w:t>
            </w:r>
            <w:proofErr w:type="spellEnd"/>
            <w:r w:rsidRPr="00B5389D">
              <w:rPr>
                <w:rFonts w:ascii="Segoe UI" w:eastAsia="宋体" w:hAnsi="Segoe UI" w:cs="Segoe UI"/>
                <w:color w:val="333333"/>
                <w:kern w:val="0"/>
                <w:sz w:val="18"/>
                <w:szCs w:val="18"/>
              </w:rPr>
              <w:t xml:space="preserve">, CFA, and Michael A. </w:t>
            </w:r>
            <w:proofErr w:type="spellStart"/>
            <w:r w:rsidRPr="00B5389D">
              <w:rPr>
                <w:rFonts w:ascii="Segoe UI" w:eastAsia="宋体" w:hAnsi="Segoe UI" w:cs="Segoe UI"/>
                <w:color w:val="333333"/>
                <w:kern w:val="0"/>
                <w:sz w:val="18"/>
                <w:szCs w:val="18"/>
              </w:rPr>
              <w:t>Broihahn</w:t>
            </w:r>
            <w:proofErr w:type="spellEnd"/>
            <w:r w:rsidRPr="00B5389D">
              <w:rPr>
                <w:rFonts w:ascii="Segoe UI" w:eastAsia="宋体" w:hAnsi="Segoe UI" w:cs="Segoe UI"/>
                <w:color w:val="333333"/>
                <w:kern w:val="0"/>
                <w:sz w:val="18"/>
                <w:szCs w:val="18"/>
              </w:rPr>
              <w:t>, CFA</w:t>
            </w:r>
            <w:r w:rsidRPr="00B5389D">
              <w:rPr>
                <w:rFonts w:ascii="Segoe UI" w:eastAsia="宋体" w:hAnsi="Segoe UI" w:cs="Segoe UI"/>
                <w:color w:val="333333"/>
                <w:kern w:val="0"/>
                <w:sz w:val="18"/>
                <w:szCs w:val="18"/>
              </w:rPr>
              <w:br/>
              <w:t>2011 Modular Level I, Vol. 3, pp. 459–461, 480–485</w:t>
            </w:r>
            <w:r w:rsidRPr="00B5389D">
              <w:rPr>
                <w:rFonts w:ascii="Segoe UI" w:eastAsia="宋体" w:hAnsi="Segoe UI" w:cs="Segoe UI"/>
                <w:color w:val="333333"/>
                <w:kern w:val="0"/>
                <w:sz w:val="18"/>
                <w:szCs w:val="18"/>
              </w:rPr>
              <w:br/>
              <w:t xml:space="preserve">Study Session 9–38–d, </w:t>
            </w:r>
            <w:proofErr w:type="spellStart"/>
            <w:r w:rsidRPr="00B5389D">
              <w:rPr>
                <w:rFonts w:ascii="Segoe UI" w:eastAsia="宋体" w:hAnsi="Segoe UI" w:cs="Segoe UI"/>
                <w:color w:val="333333"/>
                <w:kern w:val="0"/>
                <w:sz w:val="18"/>
                <w:szCs w:val="18"/>
              </w:rPr>
              <w:t>i</w:t>
            </w:r>
            <w:proofErr w:type="spellEnd"/>
            <w:r w:rsidRPr="00B5389D">
              <w:rPr>
                <w:rFonts w:ascii="Segoe UI" w:eastAsia="宋体" w:hAnsi="Segoe UI" w:cs="Segoe UI"/>
                <w:color w:val="333333"/>
                <w:kern w:val="0"/>
                <w:sz w:val="18"/>
                <w:szCs w:val="18"/>
              </w:rPr>
              <w:br/>
              <w:t>Calculate income tax expense, income taxes payable, deferred tax assets, and deferred tax liabilities, and calculate and interpret the adjustment to the financial statements related to a change in the income tax rate.</w:t>
            </w:r>
            <w:r w:rsidRPr="00B5389D">
              <w:rPr>
                <w:rFonts w:ascii="Segoe UI" w:eastAsia="宋体" w:hAnsi="Segoe UI" w:cs="Segoe UI"/>
                <w:color w:val="333333"/>
                <w:kern w:val="0"/>
                <w:sz w:val="18"/>
                <w:szCs w:val="18"/>
              </w:rPr>
              <w:br/>
              <w:t>Analyze disclosures relating to deferred tax items and the effective tax rate reconciliation, and discuss how information included in these disclosures affects a company's financial statements and financial ratios.</w:t>
            </w:r>
            <w:r w:rsidRPr="00B5389D">
              <w:rPr>
                <w:rFonts w:ascii="Segoe UI" w:eastAsia="宋体" w:hAnsi="Segoe UI" w:cs="Segoe UI"/>
                <w:color w:val="333333"/>
                <w:kern w:val="0"/>
                <w:sz w:val="18"/>
                <w:szCs w:val="18"/>
              </w:rPr>
              <w:br/>
            </w:r>
            <w:r w:rsidRPr="00B5389D">
              <w:rPr>
                <w:rFonts w:ascii="Segoe UI" w:eastAsia="宋体" w:hAnsi="Segoe UI" w:cs="Segoe UI"/>
                <w:color w:val="333333"/>
                <w:kern w:val="0"/>
                <w:sz w:val="18"/>
                <w:szCs w:val="18"/>
              </w:rPr>
              <w:br/>
              <w:t>Income tax expense reported on the income statement = Income tax payable + net changes in the deferred tax assets and deferred tax liabilities. The change in the net deferred tax liability is a $50 increase (indicating that the income tax expense is $50 in excess of the income tax payable (or current income tax expense)) and representing an increase in the expense. Therefore, the income tax expense = $1,000 + 50 = $1,050. </w:t>
            </w:r>
          </w:p>
        </w:tc>
      </w:tr>
    </w:tbl>
    <w:p w:rsidR="00C7594B" w:rsidRDefault="00C7594B">
      <w:pPr>
        <w:rPr>
          <w:rFonts w:hint="eastAsia"/>
        </w:rPr>
      </w:pPr>
    </w:p>
    <w:tbl>
      <w:tblPr>
        <w:tblW w:w="5000" w:type="pct"/>
        <w:tblCellSpacing w:w="15" w:type="dxa"/>
        <w:tblCellMar>
          <w:top w:w="30" w:type="dxa"/>
          <w:left w:w="30" w:type="dxa"/>
          <w:bottom w:w="30" w:type="dxa"/>
          <w:right w:w="30" w:type="dxa"/>
        </w:tblCellMar>
        <w:tblLook w:val="04A0"/>
      </w:tblPr>
      <w:tblGrid>
        <w:gridCol w:w="420"/>
        <w:gridCol w:w="592"/>
        <w:gridCol w:w="7141"/>
        <w:gridCol w:w="96"/>
        <w:gridCol w:w="96"/>
        <w:gridCol w:w="111"/>
      </w:tblGrid>
      <w:tr w:rsidR="00296C41" w:rsidRPr="00296C41" w:rsidTr="00296C41">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296C41" w:rsidRPr="00296C41" w:rsidRDefault="00296C41" w:rsidP="00296C41">
            <w:pPr>
              <w:widowControl/>
              <w:jc w:val="left"/>
              <w:rPr>
                <w:rFonts w:ascii="Segoe UI" w:eastAsia="宋体" w:hAnsi="Segoe UI" w:cs="Segoe UI"/>
                <w:b/>
                <w:bCs/>
                <w:color w:val="000000"/>
                <w:kern w:val="0"/>
                <w:sz w:val="18"/>
                <w:szCs w:val="18"/>
              </w:rPr>
            </w:pPr>
            <w:r w:rsidRPr="00296C41">
              <w:rPr>
                <w:rFonts w:ascii="Segoe UI" w:eastAsia="宋体" w:hAnsi="Segoe UI" w:cs="Segoe UI"/>
                <w:b/>
                <w:bCs/>
                <w:color w:val="000000"/>
                <w:kern w:val="0"/>
                <w:sz w:val="18"/>
                <w:szCs w:val="18"/>
              </w:rPr>
              <w:t>30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296C41" w:rsidRPr="00296C41" w:rsidRDefault="00296C41" w:rsidP="00296C41">
            <w:pPr>
              <w:widowControl/>
              <w:jc w:val="left"/>
              <w:rPr>
                <w:rFonts w:ascii="Segoe UI" w:eastAsia="宋体" w:hAnsi="Segoe UI" w:cs="Segoe UI"/>
                <w:color w:val="333333"/>
                <w:kern w:val="0"/>
                <w:sz w:val="18"/>
                <w:szCs w:val="18"/>
              </w:rPr>
            </w:pPr>
            <w:r w:rsidRPr="00296C41">
              <w:rPr>
                <w:rFonts w:ascii="Segoe UI" w:eastAsia="宋体" w:hAnsi="Segoe UI" w:cs="Segoe UI"/>
                <w:color w:val="333333"/>
                <w:kern w:val="0"/>
                <w:sz w:val="18"/>
                <w:szCs w:val="18"/>
              </w:rPr>
              <w:t xml:space="preserve">Which of the following inventory valuation methods </w:t>
            </w:r>
            <w:r w:rsidRPr="00296C41">
              <w:rPr>
                <w:rFonts w:ascii="Segoe UI" w:eastAsia="宋体" w:hAnsi="Segoe UI" w:cs="Segoe UI"/>
                <w:i/>
                <w:iCs/>
                <w:color w:val="333333"/>
                <w:kern w:val="0"/>
                <w:sz w:val="18"/>
                <w:szCs w:val="18"/>
              </w:rPr>
              <w:t>best</w:t>
            </w:r>
            <w:r w:rsidRPr="00296C41">
              <w:rPr>
                <w:rFonts w:ascii="Segoe UI" w:eastAsia="宋体" w:hAnsi="Segoe UI" w:cs="Segoe UI"/>
                <w:color w:val="333333"/>
                <w:kern w:val="0"/>
                <w:sz w:val="18"/>
                <w:szCs w:val="18"/>
              </w:rPr>
              <w:t xml:space="preserve"> matches the actual historical cost of the inventory items to their physical flow?</w:t>
            </w:r>
          </w:p>
        </w:tc>
      </w:tr>
      <w:tr w:rsidR="00296C41" w:rsidRPr="00296C41" w:rsidTr="00296C41">
        <w:trPr>
          <w:trHeight w:val="525"/>
          <w:tblCellSpacing w:w="15" w:type="dxa"/>
        </w:trPr>
        <w:tc>
          <w:tcPr>
            <w:tcW w:w="375" w:type="dxa"/>
            <w:vAlign w:val="center"/>
            <w:hideMark/>
          </w:tcPr>
          <w:p w:rsidR="00296C41" w:rsidRPr="00296C41" w:rsidRDefault="00296C41" w:rsidP="00296C41">
            <w:pPr>
              <w:widowControl/>
              <w:jc w:val="left"/>
              <w:rPr>
                <w:rFonts w:ascii="Segoe UI" w:eastAsia="宋体" w:hAnsi="Segoe UI" w:cs="Segoe UI"/>
                <w:color w:val="333333"/>
                <w:kern w:val="0"/>
                <w:sz w:val="18"/>
                <w:szCs w:val="18"/>
              </w:rPr>
            </w:pPr>
            <w:r w:rsidRPr="00296C4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296C41" w:rsidRPr="00296C41" w:rsidRDefault="00296C41" w:rsidP="00296C41">
            <w:pPr>
              <w:widowControl/>
              <w:jc w:val="center"/>
              <w:rPr>
                <w:rFonts w:ascii="Segoe UI" w:eastAsia="宋体" w:hAnsi="Segoe UI" w:cs="Segoe UI"/>
                <w:color w:val="000000"/>
                <w:kern w:val="0"/>
                <w:sz w:val="18"/>
                <w:szCs w:val="18"/>
              </w:rPr>
            </w:pPr>
            <w:r w:rsidRPr="00296C41">
              <w:rPr>
                <w:rFonts w:ascii="Segoe UI" w:eastAsia="宋体" w:hAnsi="Segoe UI" w:cs="Segoe UI"/>
                <w:color w:val="000000"/>
                <w:kern w:val="0"/>
                <w:sz w:val="18"/>
                <w:szCs w:val="18"/>
              </w:rPr>
              <w:object w:dxaOrig="1440" w:dyaOrig="1440">
                <v:shape id="_x0000_i1126" type="#_x0000_t75" style="width:20.25pt;height:15.75pt" o:ole="">
                  <v:imagedata r:id="rId7" o:title=""/>
                </v:shape>
                <w:control r:id="rId39" w:name="DefaultOcxName30" w:shapeid="_x0000_i112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296C41" w:rsidRPr="00296C41" w:rsidRDefault="00296C41" w:rsidP="00296C41">
            <w:pPr>
              <w:widowControl/>
              <w:jc w:val="left"/>
              <w:rPr>
                <w:rFonts w:ascii="Segoe UI" w:eastAsia="宋体" w:hAnsi="Segoe UI" w:cs="Segoe UI"/>
                <w:color w:val="000000"/>
                <w:kern w:val="0"/>
                <w:sz w:val="18"/>
                <w:szCs w:val="18"/>
              </w:rPr>
            </w:pPr>
            <w:r w:rsidRPr="00296C41">
              <w:rPr>
                <w:rFonts w:ascii="Segoe UI" w:eastAsia="宋体" w:hAnsi="Segoe UI" w:cs="Segoe UI"/>
                <w:b/>
                <w:bCs/>
                <w:color w:val="000000"/>
                <w:kern w:val="0"/>
                <w:sz w:val="18"/>
                <w:szCs w:val="18"/>
              </w:rPr>
              <w:t>A.</w:t>
            </w:r>
            <w:r w:rsidRPr="00296C41">
              <w:rPr>
                <w:rFonts w:ascii="Segoe UI" w:eastAsia="宋体" w:hAnsi="Segoe UI" w:cs="Segoe UI"/>
                <w:color w:val="000000"/>
                <w:kern w:val="0"/>
                <w:sz w:val="18"/>
                <w:szCs w:val="18"/>
              </w:rPr>
              <w:t xml:space="preserve"> FIFO</w:t>
            </w: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r>
      <w:tr w:rsidR="00296C41" w:rsidRPr="00296C41" w:rsidTr="00296C41">
        <w:trPr>
          <w:trHeight w:val="525"/>
          <w:tblCellSpacing w:w="15" w:type="dxa"/>
        </w:trPr>
        <w:tc>
          <w:tcPr>
            <w:tcW w:w="375" w:type="dxa"/>
            <w:vAlign w:val="center"/>
            <w:hideMark/>
          </w:tcPr>
          <w:p w:rsidR="00296C41" w:rsidRPr="00296C41" w:rsidRDefault="00296C41" w:rsidP="00296C41">
            <w:pPr>
              <w:widowControl/>
              <w:jc w:val="left"/>
              <w:rPr>
                <w:rFonts w:ascii="Segoe UI" w:eastAsia="宋体" w:hAnsi="Segoe UI" w:cs="Segoe UI"/>
                <w:color w:val="333333"/>
                <w:kern w:val="0"/>
                <w:sz w:val="18"/>
                <w:szCs w:val="18"/>
              </w:rPr>
            </w:pPr>
            <w:r w:rsidRPr="00296C4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296C41" w:rsidRPr="00296C41" w:rsidRDefault="00296C41" w:rsidP="00296C41">
            <w:pPr>
              <w:widowControl/>
              <w:jc w:val="center"/>
              <w:rPr>
                <w:rFonts w:ascii="Segoe UI" w:eastAsia="宋体" w:hAnsi="Segoe UI" w:cs="Segoe UI"/>
                <w:color w:val="000000"/>
                <w:kern w:val="0"/>
                <w:sz w:val="18"/>
                <w:szCs w:val="18"/>
              </w:rPr>
            </w:pPr>
            <w:r w:rsidRPr="00296C41">
              <w:rPr>
                <w:rFonts w:ascii="Segoe UI" w:eastAsia="宋体" w:hAnsi="Segoe UI" w:cs="Segoe UI"/>
                <w:color w:val="000000"/>
                <w:kern w:val="0"/>
                <w:sz w:val="18"/>
                <w:szCs w:val="18"/>
              </w:rPr>
              <w:object w:dxaOrig="1440" w:dyaOrig="1440">
                <v:shape id="_x0000_i1125" type="#_x0000_t75" style="width:20.25pt;height:15.75pt" o:ole="">
                  <v:imagedata r:id="rId9" o:title=""/>
                </v:shape>
                <w:control r:id="rId40" w:name="DefaultOcxName110" w:shapeid="_x0000_i11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296C41" w:rsidRPr="00296C41" w:rsidRDefault="00296C41" w:rsidP="00296C41">
            <w:pPr>
              <w:widowControl/>
              <w:jc w:val="left"/>
              <w:rPr>
                <w:rFonts w:ascii="Segoe UI" w:eastAsia="宋体" w:hAnsi="Segoe UI" w:cs="Segoe UI"/>
                <w:color w:val="000000"/>
                <w:kern w:val="0"/>
                <w:sz w:val="18"/>
                <w:szCs w:val="18"/>
              </w:rPr>
            </w:pPr>
            <w:r w:rsidRPr="00296C41">
              <w:rPr>
                <w:rFonts w:ascii="Segoe UI" w:eastAsia="宋体" w:hAnsi="Segoe UI" w:cs="Segoe UI"/>
                <w:b/>
                <w:bCs/>
                <w:color w:val="000000"/>
                <w:kern w:val="0"/>
                <w:sz w:val="18"/>
                <w:szCs w:val="18"/>
              </w:rPr>
              <w:t>B.</w:t>
            </w:r>
            <w:r w:rsidRPr="00296C41">
              <w:rPr>
                <w:rFonts w:ascii="Segoe UI" w:eastAsia="宋体" w:hAnsi="Segoe UI" w:cs="Segoe UI"/>
                <w:color w:val="000000"/>
                <w:kern w:val="0"/>
                <w:sz w:val="18"/>
                <w:szCs w:val="18"/>
              </w:rPr>
              <w:t xml:space="preserve"> LIFO</w:t>
            </w: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r>
      <w:tr w:rsidR="00296C41" w:rsidRPr="00296C41" w:rsidTr="00296C41">
        <w:trPr>
          <w:trHeight w:val="525"/>
          <w:tblCellSpacing w:w="15" w:type="dxa"/>
        </w:trPr>
        <w:tc>
          <w:tcPr>
            <w:tcW w:w="375" w:type="dxa"/>
            <w:vAlign w:val="center"/>
            <w:hideMark/>
          </w:tcPr>
          <w:p w:rsidR="00296C41" w:rsidRPr="00296C41" w:rsidRDefault="00296C41" w:rsidP="00296C41">
            <w:pPr>
              <w:widowControl/>
              <w:jc w:val="left"/>
              <w:rPr>
                <w:rFonts w:ascii="Segoe UI" w:eastAsia="宋体" w:hAnsi="Segoe UI" w:cs="Segoe UI"/>
                <w:color w:val="333333"/>
                <w:kern w:val="0"/>
                <w:sz w:val="18"/>
                <w:szCs w:val="18"/>
              </w:rPr>
            </w:pPr>
            <w:r w:rsidRPr="00296C41">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296C41" w:rsidRPr="00296C41" w:rsidRDefault="00296C41" w:rsidP="00296C41">
            <w:pPr>
              <w:widowControl/>
              <w:jc w:val="center"/>
              <w:rPr>
                <w:rFonts w:ascii="Segoe UI" w:eastAsia="宋体" w:hAnsi="Segoe UI" w:cs="Segoe UI"/>
                <w:color w:val="000000"/>
                <w:kern w:val="0"/>
                <w:sz w:val="18"/>
                <w:szCs w:val="18"/>
              </w:rPr>
            </w:pPr>
            <w:r w:rsidRPr="00296C41">
              <w:rPr>
                <w:rFonts w:ascii="Segoe UI" w:eastAsia="宋体" w:hAnsi="Segoe UI" w:cs="Segoe UI"/>
                <w:color w:val="000000"/>
                <w:kern w:val="0"/>
                <w:sz w:val="18"/>
                <w:szCs w:val="18"/>
              </w:rPr>
              <w:object w:dxaOrig="1440" w:dyaOrig="1440">
                <v:shape id="_x0000_i1124" type="#_x0000_t75" style="width:20.25pt;height:15.75pt" o:ole="">
                  <v:imagedata r:id="rId9" o:title=""/>
                </v:shape>
                <w:control r:id="rId41" w:name="DefaultOcxName210" w:shapeid="_x0000_i112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296C41" w:rsidRPr="00296C41" w:rsidRDefault="00296C41" w:rsidP="00296C41">
            <w:pPr>
              <w:widowControl/>
              <w:jc w:val="left"/>
              <w:rPr>
                <w:rFonts w:ascii="Segoe UI" w:eastAsia="宋体" w:hAnsi="Segoe UI" w:cs="Segoe UI"/>
                <w:color w:val="000000"/>
                <w:kern w:val="0"/>
                <w:sz w:val="18"/>
                <w:szCs w:val="18"/>
              </w:rPr>
            </w:pPr>
            <w:r w:rsidRPr="00296C41">
              <w:rPr>
                <w:rFonts w:ascii="Segoe UI" w:eastAsia="宋体" w:hAnsi="Segoe UI" w:cs="Segoe UI"/>
                <w:b/>
                <w:bCs/>
                <w:color w:val="000000"/>
                <w:kern w:val="0"/>
                <w:sz w:val="18"/>
                <w:szCs w:val="18"/>
              </w:rPr>
              <w:t>C.</w:t>
            </w:r>
            <w:r w:rsidRPr="00296C41">
              <w:rPr>
                <w:rFonts w:ascii="Segoe UI" w:eastAsia="宋体" w:hAnsi="Segoe UI" w:cs="Segoe UI"/>
                <w:color w:val="000000"/>
                <w:kern w:val="0"/>
                <w:sz w:val="18"/>
                <w:szCs w:val="18"/>
              </w:rPr>
              <w:t xml:space="preserve"> Specific identification</w:t>
            </w: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c>
          <w:tcPr>
            <w:tcW w:w="0" w:type="auto"/>
            <w:vAlign w:val="center"/>
            <w:hideMark/>
          </w:tcPr>
          <w:p w:rsidR="00296C41" w:rsidRPr="00296C41" w:rsidRDefault="00296C41" w:rsidP="00296C41">
            <w:pPr>
              <w:widowControl/>
              <w:jc w:val="left"/>
              <w:rPr>
                <w:rFonts w:ascii="Times New Roman" w:eastAsia="Times New Roman" w:hAnsi="Times New Roman" w:cs="Times New Roman"/>
                <w:kern w:val="0"/>
                <w:sz w:val="20"/>
                <w:szCs w:val="20"/>
              </w:rPr>
            </w:pPr>
          </w:p>
        </w:tc>
      </w:tr>
      <w:tr w:rsidR="00296C41" w:rsidRPr="00296C41" w:rsidTr="00296C41">
        <w:trPr>
          <w:trHeight w:val="525"/>
          <w:tblCellSpacing w:w="15" w:type="dxa"/>
        </w:trPr>
        <w:tc>
          <w:tcPr>
            <w:tcW w:w="375" w:type="dxa"/>
            <w:noWrap/>
            <w:vAlign w:val="center"/>
            <w:hideMark/>
          </w:tcPr>
          <w:p w:rsidR="00296C41" w:rsidRPr="00296C41" w:rsidRDefault="00296C41" w:rsidP="00296C41">
            <w:pPr>
              <w:widowControl/>
              <w:jc w:val="center"/>
              <w:rPr>
                <w:rFonts w:ascii="Segoe UI" w:eastAsia="宋体" w:hAnsi="Segoe UI" w:cs="Segoe UI"/>
                <w:color w:val="333333"/>
                <w:kern w:val="0"/>
                <w:sz w:val="18"/>
                <w:szCs w:val="18"/>
              </w:rPr>
            </w:pPr>
            <w:r w:rsidRPr="00296C41">
              <w:rPr>
                <w:rFonts w:ascii="Segoe UI" w:eastAsia="宋体" w:hAnsi="Segoe UI" w:cs="Segoe UI"/>
                <w:color w:val="333333"/>
                <w:kern w:val="0"/>
                <w:sz w:val="18"/>
                <w:szCs w:val="18"/>
              </w:rPr>
              <w:t> </w:t>
            </w:r>
          </w:p>
        </w:tc>
        <w:tc>
          <w:tcPr>
            <w:tcW w:w="0" w:type="auto"/>
            <w:gridSpan w:val="5"/>
            <w:shd w:val="clear" w:color="auto" w:fill="FF6347"/>
            <w:vAlign w:val="center"/>
            <w:hideMark/>
          </w:tcPr>
          <w:p w:rsidR="00296C41" w:rsidRPr="00296C41" w:rsidRDefault="00296C41" w:rsidP="00296C41">
            <w:pPr>
              <w:widowControl/>
              <w:jc w:val="left"/>
              <w:rPr>
                <w:rFonts w:ascii="Segoe UI" w:eastAsia="宋体" w:hAnsi="Segoe UI" w:cs="Segoe UI"/>
                <w:color w:val="333333"/>
                <w:kern w:val="0"/>
                <w:sz w:val="18"/>
                <w:szCs w:val="18"/>
              </w:rPr>
            </w:pPr>
            <w:r w:rsidRPr="00296C41">
              <w:rPr>
                <w:rFonts w:ascii="Segoe UI" w:eastAsia="宋体" w:hAnsi="Segoe UI" w:cs="Segoe UI"/>
                <w:b/>
                <w:bCs/>
                <w:color w:val="000080"/>
                <w:kern w:val="0"/>
                <w:sz w:val="16"/>
                <w:szCs w:val="16"/>
              </w:rPr>
              <w:t>Feedback:</w:t>
            </w:r>
            <w:r w:rsidRPr="00296C41">
              <w:rPr>
                <w:rFonts w:ascii="Segoe UI" w:eastAsia="宋体" w:hAnsi="Segoe UI" w:cs="Segoe UI"/>
                <w:color w:val="333333"/>
                <w:kern w:val="0"/>
                <w:sz w:val="18"/>
                <w:szCs w:val="18"/>
              </w:rPr>
              <w:t xml:space="preserve"> You have answered incorrectly.</w:t>
            </w:r>
            <w:r w:rsidRPr="00296C41">
              <w:rPr>
                <w:rFonts w:ascii="Segoe UI" w:eastAsia="宋体" w:hAnsi="Segoe UI" w:cs="Segoe UI"/>
                <w:color w:val="333333"/>
                <w:kern w:val="0"/>
                <w:sz w:val="18"/>
                <w:szCs w:val="18"/>
              </w:rPr>
              <w:br/>
            </w:r>
            <w:r w:rsidRPr="00296C41">
              <w:rPr>
                <w:rFonts w:ascii="Segoe UI" w:eastAsia="宋体" w:hAnsi="Segoe UI" w:cs="Segoe UI"/>
                <w:color w:val="333333"/>
                <w:kern w:val="0"/>
                <w:sz w:val="18"/>
                <w:szCs w:val="18"/>
              </w:rPr>
              <w:br/>
              <w:t xml:space="preserve">Correct answer: </w:t>
            </w:r>
            <w:r w:rsidRPr="00296C41">
              <w:rPr>
                <w:rFonts w:ascii="Segoe UI" w:eastAsia="宋体" w:hAnsi="Segoe UI" w:cs="Segoe UI"/>
                <w:b/>
                <w:bCs/>
                <w:color w:val="333333"/>
                <w:kern w:val="0"/>
                <w:sz w:val="18"/>
                <w:szCs w:val="18"/>
              </w:rPr>
              <w:t>C</w:t>
            </w:r>
            <w:r w:rsidRPr="00296C41">
              <w:rPr>
                <w:rFonts w:ascii="Segoe UI" w:eastAsia="宋体" w:hAnsi="Segoe UI" w:cs="Segoe UI"/>
                <w:color w:val="333333"/>
                <w:kern w:val="0"/>
                <w:sz w:val="18"/>
                <w:szCs w:val="18"/>
              </w:rPr>
              <w:br/>
            </w:r>
            <w:r w:rsidRPr="00296C41">
              <w:rPr>
                <w:rFonts w:ascii="Segoe UI" w:eastAsia="宋体" w:hAnsi="Segoe UI" w:cs="Segoe UI"/>
                <w:color w:val="333333"/>
                <w:kern w:val="0"/>
                <w:sz w:val="18"/>
                <w:szCs w:val="18"/>
              </w:rPr>
              <w:br/>
              <w:t xml:space="preserve">"Inventories," Michael A. </w:t>
            </w:r>
            <w:proofErr w:type="spellStart"/>
            <w:r w:rsidRPr="00296C41">
              <w:rPr>
                <w:rFonts w:ascii="Segoe UI" w:eastAsia="宋体" w:hAnsi="Segoe UI" w:cs="Segoe UI"/>
                <w:color w:val="333333"/>
                <w:kern w:val="0"/>
                <w:sz w:val="18"/>
                <w:szCs w:val="18"/>
              </w:rPr>
              <w:t>Broihahn</w:t>
            </w:r>
            <w:proofErr w:type="spellEnd"/>
            <w:r w:rsidRPr="00296C41">
              <w:rPr>
                <w:rFonts w:ascii="Segoe UI" w:eastAsia="宋体" w:hAnsi="Segoe UI" w:cs="Segoe UI"/>
                <w:color w:val="333333"/>
                <w:kern w:val="0"/>
                <w:sz w:val="18"/>
                <w:szCs w:val="18"/>
              </w:rPr>
              <w:t>, CFA</w:t>
            </w:r>
            <w:r w:rsidRPr="00296C41">
              <w:rPr>
                <w:rFonts w:ascii="Segoe UI" w:eastAsia="宋体" w:hAnsi="Segoe UI" w:cs="Segoe UI"/>
                <w:color w:val="333333"/>
                <w:kern w:val="0"/>
                <w:sz w:val="18"/>
                <w:szCs w:val="18"/>
              </w:rPr>
              <w:br/>
              <w:t>2011 Modular Level I, Vol. 3, p. 381</w:t>
            </w:r>
            <w:r w:rsidRPr="00296C41">
              <w:rPr>
                <w:rFonts w:ascii="Segoe UI" w:eastAsia="宋体" w:hAnsi="Segoe UI" w:cs="Segoe UI"/>
                <w:color w:val="333333"/>
                <w:kern w:val="0"/>
                <w:sz w:val="18"/>
                <w:szCs w:val="18"/>
              </w:rPr>
              <w:br/>
              <w:t>Study Session 9–36–b</w:t>
            </w:r>
            <w:r w:rsidRPr="00296C41">
              <w:rPr>
                <w:rFonts w:ascii="Segoe UI" w:eastAsia="宋体" w:hAnsi="Segoe UI" w:cs="Segoe UI"/>
                <w:color w:val="333333"/>
                <w:kern w:val="0"/>
                <w:sz w:val="18"/>
                <w:szCs w:val="18"/>
              </w:rPr>
              <w:br/>
              <w:t>Describe different inventory valuation methods (cost formulas).</w:t>
            </w:r>
            <w:r w:rsidRPr="00296C41">
              <w:rPr>
                <w:rFonts w:ascii="Segoe UI" w:eastAsia="宋体" w:hAnsi="Segoe UI" w:cs="Segoe UI"/>
                <w:color w:val="333333"/>
                <w:kern w:val="0"/>
                <w:sz w:val="18"/>
                <w:szCs w:val="18"/>
              </w:rPr>
              <w:br/>
            </w:r>
            <w:r w:rsidRPr="00296C41">
              <w:rPr>
                <w:rFonts w:ascii="Segoe UI" w:eastAsia="宋体" w:hAnsi="Segoe UI" w:cs="Segoe UI"/>
                <w:color w:val="333333"/>
                <w:kern w:val="0"/>
                <w:sz w:val="18"/>
                <w:szCs w:val="18"/>
              </w:rPr>
              <w:br/>
              <w:t>Specific identification best matches the physical flow of the inventory items because it tracks the actual units that are sold. </w:t>
            </w:r>
          </w:p>
        </w:tc>
      </w:tr>
    </w:tbl>
    <w:p w:rsidR="00B5389D" w:rsidRDefault="00B5389D">
      <w:pPr>
        <w:rPr>
          <w:rFonts w:hint="eastAsia"/>
        </w:rPr>
      </w:pPr>
    </w:p>
    <w:tbl>
      <w:tblPr>
        <w:tblW w:w="5000" w:type="pct"/>
        <w:tblCellSpacing w:w="15" w:type="dxa"/>
        <w:tblCellMar>
          <w:top w:w="30" w:type="dxa"/>
          <w:left w:w="30" w:type="dxa"/>
          <w:bottom w:w="30" w:type="dxa"/>
          <w:right w:w="30" w:type="dxa"/>
        </w:tblCellMar>
        <w:tblLook w:val="04A0"/>
      </w:tblPr>
      <w:tblGrid>
        <w:gridCol w:w="420"/>
        <w:gridCol w:w="704"/>
        <w:gridCol w:w="7029"/>
        <w:gridCol w:w="96"/>
        <w:gridCol w:w="96"/>
        <w:gridCol w:w="111"/>
      </w:tblGrid>
      <w:tr w:rsidR="00C17D0F" w:rsidRPr="00C17D0F" w:rsidTr="00C17D0F">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C17D0F" w:rsidRPr="00C17D0F" w:rsidRDefault="00C17D0F" w:rsidP="00C17D0F">
            <w:pPr>
              <w:widowControl/>
              <w:jc w:val="left"/>
              <w:rPr>
                <w:rFonts w:ascii="Segoe UI" w:eastAsia="宋体" w:hAnsi="Segoe UI" w:cs="Segoe UI"/>
                <w:b/>
                <w:bCs/>
                <w:color w:val="000000"/>
                <w:kern w:val="0"/>
                <w:sz w:val="18"/>
                <w:szCs w:val="18"/>
              </w:rPr>
            </w:pPr>
            <w:r w:rsidRPr="00C17D0F">
              <w:rPr>
                <w:rFonts w:ascii="Segoe UI" w:eastAsia="宋体" w:hAnsi="Segoe UI" w:cs="Segoe UI"/>
                <w:b/>
                <w:bCs/>
                <w:color w:val="000000"/>
                <w:kern w:val="0"/>
                <w:sz w:val="18"/>
                <w:szCs w:val="18"/>
              </w:rPr>
              <w:t>31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C17D0F" w:rsidRPr="00C17D0F" w:rsidRDefault="00C17D0F" w:rsidP="00C17D0F">
            <w:pPr>
              <w:widowControl/>
              <w:jc w:val="left"/>
              <w:rPr>
                <w:rFonts w:ascii="Segoe UI" w:eastAsia="宋体" w:hAnsi="Segoe UI" w:cs="Segoe UI"/>
                <w:color w:val="333333"/>
                <w:kern w:val="0"/>
                <w:sz w:val="18"/>
                <w:szCs w:val="18"/>
              </w:rPr>
            </w:pPr>
            <w:r w:rsidRPr="00C17D0F">
              <w:rPr>
                <w:rFonts w:ascii="Segoe UI" w:eastAsia="宋体" w:hAnsi="Segoe UI" w:cs="Segoe UI"/>
                <w:color w:val="333333"/>
                <w:kern w:val="0"/>
                <w:sz w:val="18"/>
                <w:szCs w:val="18"/>
              </w:rPr>
              <w:t xml:space="preserve">A company has announced that it is going to distribute a group of long-lived assets to its owners in a spin-off. The </w:t>
            </w:r>
            <w:r w:rsidRPr="00C17D0F">
              <w:rPr>
                <w:rFonts w:ascii="Segoe UI" w:eastAsia="宋体" w:hAnsi="Segoe UI" w:cs="Segoe UI"/>
                <w:i/>
                <w:iCs/>
                <w:color w:val="333333"/>
                <w:kern w:val="0"/>
                <w:sz w:val="18"/>
                <w:szCs w:val="18"/>
              </w:rPr>
              <w:t>most appropriate</w:t>
            </w:r>
            <w:r w:rsidRPr="00C17D0F">
              <w:rPr>
                <w:rFonts w:ascii="Segoe UI" w:eastAsia="宋体" w:hAnsi="Segoe UI" w:cs="Segoe UI"/>
                <w:color w:val="333333"/>
                <w:kern w:val="0"/>
                <w:sz w:val="18"/>
                <w:szCs w:val="18"/>
              </w:rPr>
              <w:t xml:space="preserve"> way to account for the assets until the distribution occurs is to classify them as:</w:t>
            </w:r>
          </w:p>
        </w:tc>
      </w:tr>
      <w:tr w:rsidR="00C17D0F" w:rsidRPr="00C17D0F" w:rsidTr="00C17D0F">
        <w:trPr>
          <w:trHeight w:val="525"/>
          <w:tblCellSpacing w:w="15" w:type="dxa"/>
        </w:trPr>
        <w:tc>
          <w:tcPr>
            <w:tcW w:w="375" w:type="dxa"/>
            <w:vAlign w:val="center"/>
            <w:hideMark/>
          </w:tcPr>
          <w:p w:rsidR="00C17D0F" w:rsidRPr="00C17D0F" w:rsidRDefault="00C17D0F" w:rsidP="00C17D0F">
            <w:pPr>
              <w:widowControl/>
              <w:jc w:val="left"/>
              <w:rPr>
                <w:rFonts w:ascii="Segoe UI" w:eastAsia="宋体" w:hAnsi="Segoe UI" w:cs="Segoe UI"/>
                <w:color w:val="333333"/>
                <w:kern w:val="0"/>
                <w:sz w:val="18"/>
                <w:szCs w:val="18"/>
              </w:rPr>
            </w:pPr>
            <w:r w:rsidRPr="00C17D0F">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17D0F" w:rsidRPr="00C17D0F" w:rsidRDefault="00C17D0F" w:rsidP="00C17D0F">
            <w:pPr>
              <w:widowControl/>
              <w:jc w:val="center"/>
              <w:rPr>
                <w:rFonts w:ascii="Segoe UI" w:eastAsia="宋体" w:hAnsi="Segoe UI" w:cs="Segoe UI"/>
                <w:color w:val="000000"/>
                <w:kern w:val="0"/>
                <w:sz w:val="18"/>
                <w:szCs w:val="18"/>
              </w:rPr>
            </w:pPr>
            <w:r w:rsidRPr="00C17D0F">
              <w:rPr>
                <w:rFonts w:ascii="Segoe UI" w:eastAsia="宋体" w:hAnsi="Segoe UI" w:cs="Segoe UI"/>
                <w:color w:val="000000"/>
                <w:kern w:val="0"/>
                <w:sz w:val="18"/>
                <w:szCs w:val="18"/>
              </w:rPr>
              <w:object w:dxaOrig="1440" w:dyaOrig="1440">
                <v:shape id="_x0000_i1135" type="#_x0000_t75" style="width:20.25pt;height:15.75pt" o:ole="">
                  <v:imagedata r:id="rId7" o:title=""/>
                </v:shape>
                <w:control r:id="rId42" w:name="DefaultOcxName31" w:shapeid="_x0000_i113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17D0F" w:rsidRPr="00C17D0F" w:rsidRDefault="00C17D0F" w:rsidP="00C17D0F">
            <w:pPr>
              <w:widowControl/>
              <w:jc w:val="left"/>
              <w:rPr>
                <w:rFonts w:ascii="Segoe UI" w:eastAsia="宋体" w:hAnsi="Segoe UI" w:cs="Segoe UI"/>
                <w:color w:val="000000"/>
                <w:kern w:val="0"/>
                <w:sz w:val="18"/>
                <w:szCs w:val="18"/>
              </w:rPr>
            </w:pPr>
            <w:r w:rsidRPr="00C17D0F">
              <w:rPr>
                <w:rFonts w:ascii="Segoe UI" w:eastAsia="宋体" w:hAnsi="Segoe UI" w:cs="Segoe UI"/>
                <w:b/>
                <w:bCs/>
                <w:color w:val="000000"/>
                <w:kern w:val="0"/>
                <w:sz w:val="18"/>
                <w:szCs w:val="18"/>
              </w:rPr>
              <w:t>A.</w:t>
            </w:r>
            <w:r w:rsidRPr="00C17D0F">
              <w:rPr>
                <w:rFonts w:ascii="Segoe UI" w:eastAsia="宋体" w:hAnsi="Segoe UI" w:cs="Segoe UI"/>
                <w:color w:val="000000"/>
                <w:kern w:val="0"/>
                <w:sz w:val="18"/>
                <w:szCs w:val="18"/>
              </w:rPr>
              <w:t xml:space="preserve"> held for sale with no depreciation taken.</w:t>
            </w: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r>
      <w:tr w:rsidR="00C17D0F" w:rsidRPr="00C17D0F" w:rsidTr="00C17D0F">
        <w:trPr>
          <w:trHeight w:val="525"/>
          <w:tblCellSpacing w:w="15" w:type="dxa"/>
        </w:trPr>
        <w:tc>
          <w:tcPr>
            <w:tcW w:w="375" w:type="dxa"/>
            <w:vAlign w:val="center"/>
            <w:hideMark/>
          </w:tcPr>
          <w:p w:rsidR="00C17D0F" w:rsidRPr="00C17D0F" w:rsidRDefault="00C17D0F" w:rsidP="00C17D0F">
            <w:pPr>
              <w:widowControl/>
              <w:jc w:val="left"/>
              <w:rPr>
                <w:rFonts w:ascii="Segoe UI" w:eastAsia="宋体" w:hAnsi="Segoe UI" w:cs="Segoe UI"/>
                <w:color w:val="333333"/>
                <w:kern w:val="0"/>
                <w:sz w:val="18"/>
                <w:szCs w:val="18"/>
              </w:rPr>
            </w:pPr>
            <w:r w:rsidRPr="00C17D0F">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17D0F" w:rsidRPr="00C17D0F" w:rsidRDefault="00C17D0F" w:rsidP="00C17D0F">
            <w:pPr>
              <w:widowControl/>
              <w:jc w:val="center"/>
              <w:rPr>
                <w:rFonts w:ascii="Segoe UI" w:eastAsia="宋体" w:hAnsi="Segoe UI" w:cs="Segoe UI"/>
                <w:color w:val="000000"/>
                <w:kern w:val="0"/>
                <w:sz w:val="18"/>
                <w:szCs w:val="18"/>
              </w:rPr>
            </w:pPr>
            <w:r w:rsidRPr="00C17D0F">
              <w:rPr>
                <w:rFonts w:ascii="Segoe UI" w:eastAsia="宋体" w:hAnsi="Segoe UI" w:cs="Segoe UI"/>
                <w:color w:val="000000"/>
                <w:kern w:val="0"/>
                <w:sz w:val="18"/>
                <w:szCs w:val="18"/>
              </w:rPr>
              <w:object w:dxaOrig="1440" w:dyaOrig="1440">
                <v:shape id="_x0000_i1134" type="#_x0000_t75" style="width:20.25pt;height:15.75pt" o:ole="">
                  <v:imagedata r:id="rId9" o:title=""/>
                </v:shape>
                <w:control r:id="rId43" w:name="DefaultOcxName111" w:shapeid="_x0000_i11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17D0F" w:rsidRPr="00C17D0F" w:rsidRDefault="00C17D0F" w:rsidP="00C17D0F">
            <w:pPr>
              <w:widowControl/>
              <w:jc w:val="left"/>
              <w:rPr>
                <w:rFonts w:ascii="Segoe UI" w:eastAsia="宋体" w:hAnsi="Segoe UI" w:cs="Segoe UI"/>
                <w:color w:val="000000"/>
                <w:kern w:val="0"/>
                <w:sz w:val="18"/>
                <w:szCs w:val="18"/>
              </w:rPr>
            </w:pPr>
            <w:r w:rsidRPr="00C17D0F">
              <w:rPr>
                <w:rFonts w:ascii="Segoe UI" w:eastAsia="宋体" w:hAnsi="Segoe UI" w:cs="Segoe UI"/>
                <w:b/>
                <w:bCs/>
                <w:color w:val="000000"/>
                <w:kern w:val="0"/>
                <w:sz w:val="18"/>
                <w:szCs w:val="18"/>
              </w:rPr>
              <w:t>B.</w:t>
            </w:r>
            <w:r w:rsidRPr="00C17D0F">
              <w:rPr>
                <w:rFonts w:ascii="Segoe UI" w:eastAsia="宋体" w:hAnsi="Segoe UI" w:cs="Segoe UI"/>
                <w:color w:val="000000"/>
                <w:kern w:val="0"/>
                <w:sz w:val="18"/>
                <w:szCs w:val="18"/>
              </w:rPr>
              <w:t xml:space="preserve"> held for use until disposal with no depreciation taken.</w:t>
            </w: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r>
      <w:tr w:rsidR="00C17D0F" w:rsidRPr="00C17D0F" w:rsidTr="00C17D0F">
        <w:trPr>
          <w:trHeight w:val="525"/>
          <w:tblCellSpacing w:w="15" w:type="dxa"/>
        </w:trPr>
        <w:tc>
          <w:tcPr>
            <w:tcW w:w="375" w:type="dxa"/>
            <w:vAlign w:val="center"/>
            <w:hideMark/>
          </w:tcPr>
          <w:p w:rsidR="00C17D0F" w:rsidRPr="00C17D0F" w:rsidRDefault="00C17D0F" w:rsidP="00C17D0F">
            <w:pPr>
              <w:widowControl/>
              <w:jc w:val="left"/>
              <w:rPr>
                <w:rFonts w:ascii="Segoe UI" w:eastAsia="宋体" w:hAnsi="Segoe UI" w:cs="Segoe UI"/>
                <w:color w:val="333333"/>
                <w:kern w:val="0"/>
                <w:sz w:val="18"/>
                <w:szCs w:val="18"/>
              </w:rPr>
            </w:pPr>
            <w:r w:rsidRPr="00C17D0F">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C17D0F" w:rsidRPr="00C17D0F" w:rsidRDefault="00C17D0F" w:rsidP="00C17D0F">
            <w:pPr>
              <w:widowControl/>
              <w:jc w:val="center"/>
              <w:rPr>
                <w:rFonts w:ascii="Segoe UI" w:eastAsia="宋体" w:hAnsi="Segoe UI" w:cs="Segoe UI"/>
                <w:color w:val="000000"/>
                <w:kern w:val="0"/>
                <w:sz w:val="18"/>
                <w:szCs w:val="18"/>
              </w:rPr>
            </w:pPr>
            <w:r w:rsidRPr="00C17D0F">
              <w:rPr>
                <w:rFonts w:ascii="Segoe UI" w:eastAsia="宋体" w:hAnsi="Segoe UI" w:cs="Segoe UI"/>
                <w:color w:val="000000"/>
                <w:kern w:val="0"/>
                <w:sz w:val="18"/>
                <w:szCs w:val="18"/>
              </w:rPr>
              <w:object w:dxaOrig="1440" w:dyaOrig="1440">
                <v:shape id="_x0000_i1133" type="#_x0000_t75" style="width:20.25pt;height:15.75pt" o:ole="">
                  <v:imagedata r:id="rId9" o:title=""/>
                </v:shape>
                <w:control r:id="rId44" w:name="DefaultOcxName211" w:shapeid="_x0000_i113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C17D0F" w:rsidRPr="00C17D0F" w:rsidRDefault="00C17D0F" w:rsidP="00C17D0F">
            <w:pPr>
              <w:widowControl/>
              <w:jc w:val="left"/>
              <w:rPr>
                <w:rFonts w:ascii="Segoe UI" w:eastAsia="宋体" w:hAnsi="Segoe UI" w:cs="Segoe UI"/>
                <w:color w:val="000000"/>
                <w:kern w:val="0"/>
                <w:sz w:val="18"/>
                <w:szCs w:val="18"/>
              </w:rPr>
            </w:pPr>
            <w:r w:rsidRPr="00C17D0F">
              <w:rPr>
                <w:rFonts w:ascii="Segoe UI" w:eastAsia="宋体" w:hAnsi="Segoe UI" w:cs="Segoe UI"/>
                <w:b/>
                <w:bCs/>
                <w:color w:val="000000"/>
                <w:kern w:val="0"/>
                <w:sz w:val="18"/>
                <w:szCs w:val="18"/>
              </w:rPr>
              <w:t>C.</w:t>
            </w:r>
            <w:r w:rsidRPr="00C17D0F">
              <w:rPr>
                <w:rFonts w:ascii="Segoe UI" w:eastAsia="宋体" w:hAnsi="Segoe UI" w:cs="Segoe UI"/>
                <w:color w:val="000000"/>
                <w:kern w:val="0"/>
                <w:sz w:val="18"/>
                <w:szCs w:val="18"/>
              </w:rPr>
              <w:t xml:space="preserve"> held for use until disposal with depreciation continuing to be taken.</w:t>
            </w: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c>
          <w:tcPr>
            <w:tcW w:w="0" w:type="auto"/>
            <w:vAlign w:val="center"/>
            <w:hideMark/>
          </w:tcPr>
          <w:p w:rsidR="00C17D0F" w:rsidRPr="00C17D0F" w:rsidRDefault="00C17D0F" w:rsidP="00C17D0F">
            <w:pPr>
              <w:widowControl/>
              <w:jc w:val="left"/>
              <w:rPr>
                <w:rFonts w:ascii="Times New Roman" w:eastAsia="Times New Roman" w:hAnsi="Times New Roman" w:cs="Times New Roman"/>
                <w:kern w:val="0"/>
                <w:sz w:val="20"/>
                <w:szCs w:val="20"/>
              </w:rPr>
            </w:pPr>
          </w:p>
        </w:tc>
      </w:tr>
      <w:tr w:rsidR="00C17D0F" w:rsidRPr="00C17D0F" w:rsidTr="00C17D0F">
        <w:trPr>
          <w:trHeight w:val="525"/>
          <w:tblCellSpacing w:w="15" w:type="dxa"/>
        </w:trPr>
        <w:tc>
          <w:tcPr>
            <w:tcW w:w="375" w:type="dxa"/>
            <w:noWrap/>
            <w:vAlign w:val="center"/>
            <w:hideMark/>
          </w:tcPr>
          <w:p w:rsidR="00C17D0F" w:rsidRPr="00C17D0F" w:rsidRDefault="00C17D0F" w:rsidP="00C17D0F">
            <w:pPr>
              <w:widowControl/>
              <w:jc w:val="center"/>
              <w:rPr>
                <w:rFonts w:ascii="Segoe UI" w:eastAsia="宋体" w:hAnsi="Segoe UI" w:cs="Segoe UI"/>
                <w:color w:val="333333"/>
                <w:kern w:val="0"/>
                <w:sz w:val="18"/>
                <w:szCs w:val="18"/>
              </w:rPr>
            </w:pPr>
            <w:r w:rsidRPr="00C17D0F">
              <w:rPr>
                <w:rFonts w:ascii="Segoe UI" w:eastAsia="宋体" w:hAnsi="Segoe UI" w:cs="Segoe UI"/>
                <w:color w:val="333333"/>
                <w:kern w:val="0"/>
                <w:sz w:val="18"/>
                <w:szCs w:val="18"/>
              </w:rPr>
              <w:t> </w:t>
            </w:r>
          </w:p>
        </w:tc>
        <w:tc>
          <w:tcPr>
            <w:tcW w:w="0" w:type="auto"/>
            <w:gridSpan w:val="5"/>
            <w:shd w:val="clear" w:color="auto" w:fill="FF6347"/>
            <w:vAlign w:val="center"/>
            <w:hideMark/>
          </w:tcPr>
          <w:p w:rsidR="00C17D0F" w:rsidRPr="00C17D0F" w:rsidRDefault="00C17D0F" w:rsidP="00C17D0F">
            <w:pPr>
              <w:widowControl/>
              <w:jc w:val="left"/>
              <w:rPr>
                <w:rFonts w:ascii="Segoe UI" w:eastAsia="宋体" w:hAnsi="Segoe UI" w:cs="Segoe UI"/>
                <w:color w:val="333333"/>
                <w:kern w:val="0"/>
                <w:sz w:val="18"/>
                <w:szCs w:val="18"/>
              </w:rPr>
            </w:pPr>
            <w:r w:rsidRPr="00C17D0F">
              <w:rPr>
                <w:rFonts w:ascii="Segoe UI" w:eastAsia="宋体" w:hAnsi="Segoe UI" w:cs="Segoe UI"/>
                <w:b/>
                <w:bCs/>
                <w:color w:val="000080"/>
                <w:kern w:val="0"/>
                <w:sz w:val="16"/>
                <w:szCs w:val="16"/>
              </w:rPr>
              <w:t>Feedback:</w:t>
            </w:r>
            <w:r w:rsidRPr="00C17D0F">
              <w:rPr>
                <w:rFonts w:ascii="Segoe UI" w:eastAsia="宋体" w:hAnsi="Segoe UI" w:cs="Segoe UI"/>
                <w:color w:val="333333"/>
                <w:kern w:val="0"/>
                <w:sz w:val="18"/>
                <w:szCs w:val="18"/>
              </w:rPr>
              <w:t xml:space="preserve"> You have answered incorrectly.</w:t>
            </w:r>
            <w:r w:rsidRPr="00C17D0F">
              <w:rPr>
                <w:rFonts w:ascii="Segoe UI" w:eastAsia="宋体" w:hAnsi="Segoe UI" w:cs="Segoe UI"/>
                <w:color w:val="333333"/>
                <w:kern w:val="0"/>
                <w:sz w:val="18"/>
                <w:szCs w:val="18"/>
              </w:rPr>
              <w:br/>
            </w:r>
            <w:r w:rsidRPr="00C17D0F">
              <w:rPr>
                <w:rFonts w:ascii="Segoe UI" w:eastAsia="宋体" w:hAnsi="Segoe UI" w:cs="Segoe UI"/>
                <w:color w:val="333333"/>
                <w:kern w:val="0"/>
                <w:sz w:val="18"/>
                <w:szCs w:val="18"/>
              </w:rPr>
              <w:br/>
              <w:t xml:space="preserve">Correct answer: </w:t>
            </w:r>
            <w:r w:rsidRPr="00C17D0F">
              <w:rPr>
                <w:rFonts w:ascii="Segoe UI" w:eastAsia="宋体" w:hAnsi="Segoe UI" w:cs="Segoe UI"/>
                <w:b/>
                <w:bCs/>
                <w:color w:val="333333"/>
                <w:kern w:val="0"/>
                <w:sz w:val="18"/>
                <w:szCs w:val="18"/>
              </w:rPr>
              <w:t>C</w:t>
            </w:r>
            <w:r w:rsidRPr="00C17D0F">
              <w:rPr>
                <w:rFonts w:ascii="Segoe UI" w:eastAsia="宋体" w:hAnsi="Segoe UI" w:cs="Segoe UI"/>
                <w:color w:val="333333"/>
                <w:kern w:val="0"/>
                <w:sz w:val="18"/>
                <w:szCs w:val="18"/>
              </w:rPr>
              <w:br/>
            </w:r>
            <w:r w:rsidRPr="00C17D0F">
              <w:rPr>
                <w:rFonts w:ascii="Segoe UI" w:eastAsia="宋体" w:hAnsi="Segoe UI" w:cs="Segoe UI"/>
                <w:color w:val="333333"/>
                <w:kern w:val="0"/>
                <w:sz w:val="18"/>
                <w:szCs w:val="18"/>
              </w:rPr>
              <w:br/>
              <w:t>"Long-Lived Assets," Elaine Henry, CFA, and Elizabeth A. Gordon</w:t>
            </w:r>
            <w:r w:rsidRPr="00C17D0F">
              <w:rPr>
                <w:rFonts w:ascii="Segoe UI" w:eastAsia="宋体" w:hAnsi="Segoe UI" w:cs="Segoe UI"/>
                <w:color w:val="333333"/>
                <w:kern w:val="0"/>
                <w:sz w:val="18"/>
                <w:szCs w:val="18"/>
              </w:rPr>
              <w:br/>
              <w:t>2011 Modular Level I, Vol. 3, pp. 437, 449</w:t>
            </w:r>
            <w:r w:rsidRPr="00C17D0F">
              <w:rPr>
                <w:rFonts w:ascii="Segoe UI" w:eastAsia="宋体" w:hAnsi="Segoe UI" w:cs="Segoe UI"/>
                <w:color w:val="333333"/>
                <w:kern w:val="0"/>
                <w:sz w:val="18"/>
                <w:szCs w:val="18"/>
              </w:rPr>
              <w:br/>
              <w:t>Study Session 9–37–i</w:t>
            </w:r>
            <w:r w:rsidRPr="00C17D0F">
              <w:rPr>
                <w:rFonts w:ascii="Segoe UI" w:eastAsia="宋体" w:hAnsi="Segoe UI" w:cs="Segoe UI"/>
                <w:color w:val="333333"/>
                <w:kern w:val="0"/>
                <w:sz w:val="18"/>
                <w:szCs w:val="18"/>
              </w:rPr>
              <w:br/>
              <w:t xml:space="preserve">Discuss the </w:t>
            </w:r>
            <w:proofErr w:type="spellStart"/>
            <w:r w:rsidRPr="00C17D0F">
              <w:rPr>
                <w:rFonts w:ascii="Segoe UI" w:eastAsia="宋体" w:hAnsi="Segoe UI" w:cs="Segoe UI"/>
                <w:color w:val="333333"/>
                <w:kern w:val="0"/>
                <w:sz w:val="18"/>
                <w:szCs w:val="18"/>
              </w:rPr>
              <w:t>derecognition</w:t>
            </w:r>
            <w:proofErr w:type="spellEnd"/>
            <w:r w:rsidRPr="00C17D0F">
              <w:rPr>
                <w:rFonts w:ascii="Segoe UI" w:eastAsia="宋体" w:hAnsi="Segoe UI" w:cs="Segoe UI"/>
                <w:color w:val="333333"/>
                <w:kern w:val="0"/>
                <w:sz w:val="18"/>
                <w:szCs w:val="18"/>
              </w:rPr>
              <w:t xml:space="preserve"> of property, plant and equipment, and intangible assets.</w:t>
            </w:r>
            <w:r w:rsidRPr="00C17D0F">
              <w:rPr>
                <w:rFonts w:ascii="Segoe UI" w:eastAsia="宋体" w:hAnsi="Segoe UI" w:cs="Segoe UI"/>
                <w:color w:val="333333"/>
                <w:kern w:val="0"/>
                <w:sz w:val="18"/>
                <w:szCs w:val="18"/>
              </w:rPr>
              <w:br/>
            </w:r>
            <w:r w:rsidRPr="00C17D0F">
              <w:rPr>
                <w:rFonts w:ascii="Segoe UI" w:eastAsia="宋体" w:hAnsi="Segoe UI" w:cs="Segoe UI"/>
                <w:color w:val="333333"/>
                <w:kern w:val="0"/>
                <w:sz w:val="18"/>
                <w:szCs w:val="18"/>
              </w:rPr>
              <w:br/>
              <w:t>Long-lived assets that will be disposed of other than by sale (such as a spin-off, an exchange for other assets, or abandonment) are classified as held for use until disposal and continue to be depreciated until that time. </w:t>
            </w:r>
          </w:p>
        </w:tc>
      </w:tr>
    </w:tbl>
    <w:p w:rsidR="00296C41" w:rsidRDefault="00296C41">
      <w:pPr>
        <w:rPr>
          <w:rFonts w:hint="eastAsia"/>
        </w:rPr>
      </w:pPr>
    </w:p>
    <w:tbl>
      <w:tblPr>
        <w:tblW w:w="5000" w:type="pct"/>
        <w:tblCellSpacing w:w="15" w:type="dxa"/>
        <w:tblCellMar>
          <w:top w:w="30" w:type="dxa"/>
          <w:left w:w="30" w:type="dxa"/>
          <w:bottom w:w="30" w:type="dxa"/>
          <w:right w:w="30" w:type="dxa"/>
        </w:tblCellMar>
        <w:tblLook w:val="04A0"/>
      </w:tblPr>
      <w:tblGrid>
        <w:gridCol w:w="420"/>
        <w:gridCol w:w="645"/>
        <w:gridCol w:w="7088"/>
        <w:gridCol w:w="96"/>
        <w:gridCol w:w="96"/>
        <w:gridCol w:w="111"/>
      </w:tblGrid>
      <w:tr w:rsidR="008070C7" w:rsidRPr="008070C7" w:rsidTr="008070C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070C7" w:rsidRPr="008070C7" w:rsidRDefault="008070C7" w:rsidP="008070C7">
            <w:pPr>
              <w:widowControl/>
              <w:jc w:val="left"/>
              <w:rPr>
                <w:rFonts w:ascii="Segoe UI" w:eastAsia="宋体" w:hAnsi="Segoe UI" w:cs="Segoe UI"/>
                <w:b/>
                <w:bCs/>
                <w:color w:val="000000"/>
                <w:kern w:val="0"/>
                <w:sz w:val="18"/>
                <w:szCs w:val="18"/>
              </w:rPr>
            </w:pPr>
            <w:r w:rsidRPr="008070C7">
              <w:rPr>
                <w:rFonts w:ascii="Segoe UI" w:eastAsia="宋体" w:hAnsi="Segoe UI" w:cs="Segoe UI"/>
                <w:b/>
                <w:bCs/>
                <w:color w:val="000000"/>
                <w:kern w:val="0"/>
                <w:sz w:val="18"/>
                <w:szCs w:val="18"/>
              </w:rPr>
              <w:t>32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The following information is available from a company’s 2010 financial statements: </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r>
            <w:r w:rsidRPr="008070C7">
              <w:rPr>
                <w:rFonts w:ascii="Segoe UI" w:eastAsia="宋体" w:hAnsi="Segoe UI" w:cs="Segoe UI"/>
                <w:b/>
                <w:bCs/>
                <w:color w:val="333333"/>
                <w:kern w:val="0"/>
                <w:sz w:val="18"/>
                <w:szCs w:val="18"/>
              </w:rPr>
              <w:t>Note 6: Employee costs</w:t>
            </w:r>
            <w:r w:rsidRPr="008070C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10"/>
              <w:gridCol w:w="1400"/>
              <w:gridCol w:w="1475"/>
            </w:tblGrid>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(all figures in $ thousands)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2010</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2009</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Wages and salaries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$21,000</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$18,500</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Share-based payment costs (Note 15)</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600</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425</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Defined contribution pension plan</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1,525</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1,462</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Retirement benefit obligations (Note 17)</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728</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620</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Other employee costs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u w:val="single"/>
                    </w:rPr>
                    <w:t>3,233</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u w:val="single"/>
                    </w:rPr>
                    <w:t>3,080</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Total employee costs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$27,086</w:t>
                  </w:r>
                </w:p>
              </w:tc>
              <w:tc>
                <w:tcPr>
                  <w:tcW w:w="108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$24,087</w:t>
                  </w:r>
                </w:p>
              </w:tc>
            </w:tr>
          </w:tbl>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r>
            <w:r w:rsidRPr="008070C7">
              <w:rPr>
                <w:rFonts w:ascii="Segoe UI" w:eastAsia="宋体" w:hAnsi="Segoe UI" w:cs="Segoe UI"/>
                <w:b/>
                <w:bCs/>
                <w:color w:val="333333"/>
                <w:kern w:val="0"/>
                <w:sz w:val="18"/>
                <w:szCs w:val="18"/>
              </w:rPr>
              <w:t>Note 17: Retirement benefit obligations</w:t>
            </w:r>
            <w:r w:rsidRPr="008070C7">
              <w:rPr>
                <w:rFonts w:ascii="Segoe UI" w:eastAsia="宋体" w:hAnsi="Segoe UI" w:cs="Segoe UI"/>
                <w:color w:val="333333"/>
                <w:kern w:val="0"/>
                <w:sz w:val="18"/>
                <w:szCs w:val="18"/>
              </w:rPr>
              <w:br/>
              <w:t>Amounts recognized in the income statement for the year</w:t>
            </w:r>
            <w:r w:rsidRPr="008070C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97"/>
              <w:gridCol w:w="1397"/>
              <w:gridCol w:w="1491"/>
            </w:tblGrid>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(all figures in $ thousands)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2010</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2009</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Current service cost</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$ 692</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$ 588</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Interest cost on pension obligation</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80</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65</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Expected return on plan assets</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(50)</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(45)</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lastRenderedPageBreak/>
                    <w:t>Past service costs recognized in the year</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u w:val="single"/>
                    </w:rPr>
                    <w:t>6</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u w:val="single"/>
                    </w:rPr>
                    <w:t>12</w:t>
                  </w:r>
                </w:p>
              </w:tc>
            </w:tr>
            <w:tr w:rsidR="008070C7" w:rsidRPr="008070C7">
              <w:trPr>
                <w:tblCellSpacing w:w="15" w:type="dxa"/>
              </w:trPr>
              <w:tc>
                <w:tcPr>
                  <w:tcW w:w="3750"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Total income statement charge</w:t>
                  </w:r>
                </w:p>
              </w:tc>
              <w:tc>
                <w:tcPr>
                  <w:tcW w:w="103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$ 720</w:t>
                  </w:r>
                </w:p>
              </w:tc>
              <w:tc>
                <w:tcPr>
                  <w:tcW w:w="109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$ 620</w:t>
                  </w:r>
                </w:p>
              </w:tc>
            </w:tr>
          </w:tbl>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br/>
              <w:t xml:space="preserve">The pension expense (thousands) reported in 2010 is </w:t>
            </w:r>
            <w:r w:rsidRPr="008070C7">
              <w:rPr>
                <w:rFonts w:ascii="Segoe UI" w:eastAsia="宋体" w:hAnsi="Segoe UI" w:cs="Segoe UI"/>
                <w:i/>
                <w:iCs/>
                <w:color w:val="333333"/>
                <w:kern w:val="0"/>
                <w:sz w:val="18"/>
                <w:szCs w:val="18"/>
              </w:rPr>
              <w:t>closest</w:t>
            </w:r>
            <w:r w:rsidRPr="008070C7">
              <w:rPr>
                <w:rFonts w:ascii="Segoe UI" w:eastAsia="宋体" w:hAnsi="Segoe UI" w:cs="Segoe UI"/>
                <w:color w:val="333333"/>
                <w:kern w:val="0"/>
                <w:sz w:val="18"/>
                <w:szCs w:val="18"/>
              </w:rPr>
              <w:t xml:space="preserve"> to:</w:t>
            </w: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44" type="#_x0000_t75" style="width:20.25pt;height:15.75pt" o:ole="">
                  <v:imagedata r:id="rId7" o:title=""/>
                </v:shape>
                <w:control r:id="rId45" w:name="DefaultOcxName32" w:shapeid="_x0000_i11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A.</w:t>
            </w:r>
            <w:r w:rsidRPr="008070C7">
              <w:rPr>
                <w:rFonts w:ascii="Segoe UI" w:eastAsia="宋体" w:hAnsi="Segoe UI" w:cs="Segoe UI"/>
                <w:color w:val="000000"/>
                <w:kern w:val="0"/>
                <w:sz w:val="18"/>
                <w:szCs w:val="18"/>
              </w:rPr>
              <w:t xml:space="preserve"> $1,525.</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43" type="#_x0000_t75" style="width:20.25pt;height:15.75pt" o:ole="">
                  <v:imagedata r:id="rId9" o:title=""/>
                </v:shape>
                <w:control r:id="rId46" w:name="DefaultOcxName112" w:shapeid="_x0000_i11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B.</w:t>
            </w:r>
            <w:r w:rsidRPr="008070C7">
              <w:rPr>
                <w:rFonts w:ascii="Segoe UI" w:eastAsia="宋体" w:hAnsi="Segoe UI" w:cs="Segoe UI"/>
                <w:color w:val="000000"/>
                <w:kern w:val="0"/>
                <w:sz w:val="18"/>
                <w:szCs w:val="18"/>
              </w:rPr>
              <w:t xml:space="preserve"> $2,217.</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42" type="#_x0000_t75" style="width:20.25pt;height:15.75pt" o:ole="">
                  <v:imagedata r:id="rId9" o:title=""/>
                </v:shape>
                <w:control r:id="rId47" w:name="DefaultOcxName212" w:shapeid="_x0000_i114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C.</w:t>
            </w:r>
            <w:r w:rsidRPr="008070C7">
              <w:rPr>
                <w:rFonts w:ascii="Segoe UI" w:eastAsia="宋体" w:hAnsi="Segoe UI" w:cs="Segoe UI"/>
                <w:color w:val="000000"/>
                <w:kern w:val="0"/>
                <w:sz w:val="18"/>
                <w:szCs w:val="18"/>
              </w:rPr>
              <w:t xml:space="preserve"> $2,253.</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noWrap/>
            <w:vAlign w:val="center"/>
            <w:hideMark/>
          </w:tcPr>
          <w:p w:rsidR="008070C7" w:rsidRPr="008070C7" w:rsidRDefault="008070C7" w:rsidP="008070C7">
            <w:pPr>
              <w:widowControl/>
              <w:jc w:val="center"/>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0" w:type="auto"/>
            <w:gridSpan w:val="5"/>
            <w:shd w:val="clear" w:color="auto" w:fill="FF6347"/>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b/>
                <w:bCs/>
                <w:color w:val="000080"/>
                <w:kern w:val="0"/>
                <w:sz w:val="16"/>
                <w:szCs w:val="16"/>
              </w:rPr>
              <w:t>Feedback:</w:t>
            </w:r>
            <w:r w:rsidRPr="008070C7">
              <w:rPr>
                <w:rFonts w:ascii="Segoe UI" w:eastAsia="宋体" w:hAnsi="Segoe UI" w:cs="Segoe UI"/>
                <w:color w:val="333333"/>
                <w:kern w:val="0"/>
                <w:sz w:val="18"/>
                <w:szCs w:val="18"/>
              </w:rPr>
              <w:t xml:space="preserve"> You have answered incorrectly.</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Correct answer: </w:t>
            </w:r>
            <w:r w:rsidRPr="008070C7">
              <w:rPr>
                <w:rFonts w:ascii="Segoe UI" w:eastAsia="宋体" w:hAnsi="Segoe UI" w:cs="Segoe UI"/>
                <w:b/>
                <w:bCs/>
                <w:color w:val="333333"/>
                <w:kern w:val="0"/>
                <w:sz w:val="18"/>
                <w:szCs w:val="18"/>
              </w:rPr>
              <w:t>C</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"Non-Current (Long-Term) Liabilities," Elizabeth A. Gordon and Elaine Henry, CFA</w:t>
            </w:r>
            <w:r w:rsidRPr="008070C7">
              <w:rPr>
                <w:rFonts w:ascii="Segoe UI" w:eastAsia="宋体" w:hAnsi="Segoe UI" w:cs="Segoe UI"/>
                <w:color w:val="333333"/>
                <w:kern w:val="0"/>
                <w:sz w:val="18"/>
                <w:szCs w:val="18"/>
              </w:rPr>
              <w:br/>
              <w:t>2011 Modular Level I, Vol. 3, pp. 538–541</w:t>
            </w:r>
            <w:r w:rsidRPr="008070C7">
              <w:rPr>
                <w:rFonts w:ascii="Segoe UI" w:eastAsia="宋体" w:hAnsi="Segoe UI" w:cs="Segoe UI"/>
                <w:color w:val="333333"/>
                <w:kern w:val="0"/>
                <w:sz w:val="18"/>
                <w:szCs w:val="18"/>
              </w:rPr>
              <w:br/>
              <w:t>Study Session 9–39–j, k</w:t>
            </w:r>
            <w:r w:rsidRPr="008070C7">
              <w:rPr>
                <w:rFonts w:ascii="Segoe UI" w:eastAsia="宋体" w:hAnsi="Segoe UI" w:cs="Segoe UI"/>
                <w:color w:val="333333"/>
                <w:kern w:val="0"/>
                <w:sz w:val="18"/>
                <w:szCs w:val="18"/>
              </w:rPr>
              <w:br/>
              <w:t>Describe defined contribution and defined benefit pension plans.</w:t>
            </w:r>
            <w:r w:rsidRPr="008070C7">
              <w:rPr>
                <w:rFonts w:ascii="Segoe UI" w:eastAsia="宋体" w:hAnsi="Segoe UI" w:cs="Segoe UI"/>
                <w:color w:val="333333"/>
                <w:kern w:val="0"/>
                <w:sz w:val="18"/>
                <w:szCs w:val="18"/>
              </w:rPr>
              <w:br/>
              <w:t>Compare and contrast the presentation and disclosure of defined contribution and defined benefit pension plans.</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The pension expense would be the sum of the expense for the defined contribution plan and the defined benefit plan (retirement benefit obligation): 1,525 + 728 = 2,253 </w:t>
            </w:r>
          </w:p>
        </w:tc>
      </w:tr>
    </w:tbl>
    <w:p w:rsidR="00C17D0F" w:rsidRDefault="00C17D0F">
      <w:pPr>
        <w:rPr>
          <w:rFonts w:hint="eastAsia"/>
        </w:rPr>
      </w:pPr>
    </w:p>
    <w:tbl>
      <w:tblPr>
        <w:tblW w:w="5000" w:type="pct"/>
        <w:tblCellSpacing w:w="15" w:type="dxa"/>
        <w:tblCellMar>
          <w:top w:w="30" w:type="dxa"/>
          <w:left w:w="30" w:type="dxa"/>
          <w:bottom w:w="30" w:type="dxa"/>
          <w:right w:w="30" w:type="dxa"/>
        </w:tblCellMar>
        <w:tblLook w:val="04A0"/>
      </w:tblPr>
      <w:tblGrid>
        <w:gridCol w:w="420"/>
        <w:gridCol w:w="539"/>
        <w:gridCol w:w="7188"/>
        <w:gridCol w:w="98"/>
        <w:gridCol w:w="98"/>
        <w:gridCol w:w="113"/>
      </w:tblGrid>
      <w:tr w:rsidR="008070C7" w:rsidRPr="008070C7" w:rsidTr="008070C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070C7" w:rsidRPr="008070C7" w:rsidRDefault="008070C7" w:rsidP="008070C7">
            <w:pPr>
              <w:widowControl/>
              <w:jc w:val="left"/>
              <w:rPr>
                <w:rFonts w:ascii="Segoe UI" w:eastAsia="宋体" w:hAnsi="Segoe UI" w:cs="Segoe UI"/>
                <w:b/>
                <w:bCs/>
                <w:color w:val="000000"/>
                <w:kern w:val="0"/>
                <w:sz w:val="18"/>
                <w:szCs w:val="18"/>
              </w:rPr>
            </w:pPr>
            <w:r w:rsidRPr="008070C7">
              <w:rPr>
                <w:rFonts w:ascii="Segoe UI" w:eastAsia="宋体" w:hAnsi="Segoe UI" w:cs="Segoe UI"/>
                <w:b/>
                <w:bCs/>
                <w:color w:val="000000"/>
                <w:kern w:val="0"/>
                <w:sz w:val="18"/>
                <w:szCs w:val="18"/>
              </w:rPr>
              <w:t>33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Given the following information about a company: </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62"/>
              <w:gridCol w:w="1154"/>
              <w:gridCol w:w="1169"/>
            </w:tblGrid>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(all figures in $ millions)</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2010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b/>
                      <w:bCs/>
                      <w:color w:val="333333"/>
                      <w:kern w:val="0"/>
                      <w:sz w:val="18"/>
                      <w:szCs w:val="18"/>
                    </w:rPr>
                    <w:t>2009</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Short-term borrowings</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$ 2,240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$5,400</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Current portion of long-term interest-bearing debt</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2,000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1,200</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Long-term interest-bearing debt </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12,000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9,000</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Total shareholders' equity</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23,250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21,175</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EBIT</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3,850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3,800</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Interest payments</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855</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837</w:t>
                  </w:r>
                </w:p>
              </w:tc>
            </w:tr>
            <w:tr w:rsidR="008070C7" w:rsidRPr="008070C7">
              <w:trPr>
                <w:tblCellSpacing w:w="15" w:type="dxa"/>
              </w:trPr>
              <w:tc>
                <w:tcPr>
                  <w:tcW w:w="478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Operating lease payments</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800</w:t>
                  </w:r>
                </w:p>
              </w:tc>
              <w:tc>
                <w:tcPr>
                  <w:tcW w:w="975" w:type="dxa"/>
                  <w:tcBorders>
                    <w:top w:val="outset" w:sz="6" w:space="0" w:color="auto"/>
                    <w:left w:val="outset" w:sz="6" w:space="0" w:color="auto"/>
                    <w:bottom w:val="outset" w:sz="6" w:space="0" w:color="auto"/>
                    <w:right w:val="outset" w:sz="6" w:space="0" w:color="auto"/>
                  </w:tcBorders>
                  <w:vAlign w:val="center"/>
                  <w:hideMark/>
                </w:tcPr>
                <w:p w:rsidR="008070C7" w:rsidRPr="008070C7" w:rsidRDefault="008070C7" w:rsidP="008070C7">
                  <w:pPr>
                    <w:widowControl/>
                    <w:jc w:val="righ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800</w:t>
                  </w:r>
                </w:p>
              </w:tc>
            </w:tr>
          </w:tbl>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br/>
              <w:t xml:space="preserve">What is the </w:t>
            </w:r>
            <w:r w:rsidRPr="008070C7">
              <w:rPr>
                <w:rFonts w:ascii="Segoe UI" w:eastAsia="宋体" w:hAnsi="Segoe UI" w:cs="Segoe UI"/>
                <w:i/>
                <w:iCs/>
                <w:color w:val="333333"/>
                <w:kern w:val="0"/>
                <w:sz w:val="18"/>
                <w:szCs w:val="18"/>
              </w:rPr>
              <w:t>most appropriate</w:t>
            </w:r>
            <w:r w:rsidRPr="008070C7">
              <w:rPr>
                <w:rFonts w:ascii="Segoe UI" w:eastAsia="宋体" w:hAnsi="Segoe UI" w:cs="Segoe UI"/>
                <w:color w:val="333333"/>
                <w:kern w:val="0"/>
                <w:sz w:val="18"/>
                <w:szCs w:val="18"/>
              </w:rPr>
              <w:t xml:space="preserve"> conclusion an analyst can make about the solvency of the company? Solvency has:</w:t>
            </w: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55" type="#_x0000_t75" style="width:20.25pt;height:15.75pt" o:ole="">
                  <v:imagedata r:id="rId7" o:title=""/>
                </v:shape>
                <w:control r:id="rId48" w:name="DefaultOcxName33" w:shapeid="_x0000_i115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A.</w:t>
            </w:r>
            <w:r w:rsidRPr="008070C7">
              <w:rPr>
                <w:rFonts w:ascii="Segoe UI" w:eastAsia="宋体" w:hAnsi="Segoe UI" w:cs="Segoe UI"/>
                <w:color w:val="000000"/>
                <w:kern w:val="0"/>
                <w:sz w:val="18"/>
                <w:szCs w:val="18"/>
              </w:rPr>
              <w:t xml:space="preserve"> improved because the debt-to-equity ratio decreased.</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54" type="#_x0000_t75" style="width:20.25pt;height:15.75pt" o:ole="">
                  <v:imagedata r:id="rId9" o:title=""/>
                </v:shape>
                <w:control r:id="rId49" w:name="DefaultOcxName113" w:shapeid="_x0000_i115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B.</w:t>
            </w:r>
            <w:r w:rsidRPr="008070C7">
              <w:rPr>
                <w:rFonts w:ascii="Segoe UI" w:eastAsia="宋体" w:hAnsi="Segoe UI" w:cs="Segoe UI"/>
                <w:color w:val="000000"/>
                <w:kern w:val="0"/>
                <w:sz w:val="18"/>
                <w:szCs w:val="18"/>
              </w:rPr>
              <w:t xml:space="preserve"> deteriorated because the debt-to-equity ratio increased.</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53" type="#_x0000_t75" style="width:20.25pt;height:15.75pt" o:ole="">
                  <v:imagedata r:id="rId9" o:title=""/>
                </v:shape>
                <w:control r:id="rId50" w:name="DefaultOcxName213" w:shapeid="_x0000_i11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C.</w:t>
            </w:r>
            <w:r w:rsidRPr="008070C7">
              <w:rPr>
                <w:rFonts w:ascii="Segoe UI" w:eastAsia="宋体" w:hAnsi="Segoe UI" w:cs="Segoe UI"/>
                <w:color w:val="000000"/>
                <w:kern w:val="0"/>
                <w:sz w:val="18"/>
                <w:szCs w:val="18"/>
              </w:rPr>
              <w:t xml:space="preserve"> improved because the fixed charge coverage ratio increased.</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noWrap/>
            <w:vAlign w:val="center"/>
            <w:hideMark/>
          </w:tcPr>
          <w:p w:rsidR="008070C7" w:rsidRPr="008070C7" w:rsidRDefault="008070C7" w:rsidP="008070C7">
            <w:pPr>
              <w:widowControl/>
              <w:jc w:val="center"/>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0" w:type="auto"/>
            <w:gridSpan w:val="5"/>
            <w:shd w:val="clear" w:color="auto" w:fill="9ACD32"/>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b/>
                <w:bCs/>
                <w:color w:val="000080"/>
                <w:kern w:val="0"/>
                <w:sz w:val="16"/>
                <w:szCs w:val="16"/>
              </w:rPr>
              <w:t>Feedback:</w:t>
            </w:r>
            <w:r w:rsidRPr="008070C7">
              <w:rPr>
                <w:rFonts w:ascii="Segoe UI" w:eastAsia="宋体" w:hAnsi="Segoe UI" w:cs="Segoe UI"/>
                <w:color w:val="333333"/>
                <w:kern w:val="0"/>
                <w:sz w:val="18"/>
                <w:szCs w:val="18"/>
              </w:rPr>
              <w:t xml:space="preserve"> You have answered correctly.</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Correct answer: </w:t>
            </w:r>
            <w:r w:rsidRPr="008070C7">
              <w:rPr>
                <w:rFonts w:ascii="Segoe UI" w:eastAsia="宋体" w:hAnsi="Segoe UI" w:cs="Segoe UI"/>
                <w:b/>
                <w:bCs/>
                <w:color w:val="333333"/>
                <w:kern w:val="0"/>
                <w:sz w:val="18"/>
                <w:szCs w:val="18"/>
              </w:rPr>
              <w:t>A</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"Financial Analysis Techniques," Thomas R. Robinson, CFA, Jan </w:t>
            </w:r>
            <w:proofErr w:type="spellStart"/>
            <w:r w:rsidRPr="008070C7">
              <w:rPr>
                <w:rFonts w:ascii="Segoe UI" w:eastAsia="宋体" w:hAnsi="Segoe UI" w:cs="Segoe UI"/>
                <w:color w:val="333333"/>
                <w:kern w:val="0"/>
                <w:sz w:val="18"/>
                <w:szCs w:val="18"/>
              </w:rPr>
              <w:t>Hendrik</w:t>
            </w:r>
            <w:proofErr w:type="spellEnd"/>
            <w:r w:rsidRPr="008070C7">
              <w:rPr>
                <w:rFonts w:ascii="Segoe UI" w:eastAsia="宋体" w:hAnsi="Segoe UI" w:cs="Segoe UI"/>
                <w:color w:val="333333"/>
                <w:kern w:val="0"/>
                <w:sz w:val="18"/>
                <w:szCs w:val="18"/>
              </w:rPr>
              <w:t xml:space="preserve"> van </w:t>
            </w:r>
            <w:proofErr w:type="spellStart"/>
            <w:r w:rsidRPr="008070C7">
              <w:rPr>
                <w:rFonts w:ascii="Segoe UI" w:eastAsia="宋体" w:hAnsi="Segoe UI" w:cs="Segoe UI"/>
                <w:color w:val="333333"/>
                <w:kern w:val="0"/>
                <w:sz w:val="18"/>
                <w:szCs w:val="18"/>
              </w:rPr>
              <w:t>Greuning</w:t>
            </w:r>
            <w:proofErr w:type="spellEnd"/>
            <w:r w:rsidRPr="008070C7">
              <w:rPr>
                <w:rFonts w:ascii="Segoe UI" w:eastAsia="宋体" w:hAnsi="Segoe UI" w:cs="Segoe UI"/>
                <w:color w:val="333333"/>
                <w:kern w:val="0"/>
                <w:sz w:val="18"/>
                <w:szCs w:val="18"/>
              </w:rPr>
              <w:t xml:space="preserve">, CFA, Elaine Henry, CFA, and Michael A. </w:t>
            </w:r>
            <w:proofErr w:type="spellStart"/>
            <w:r w:rsidRPr="008070C7">
              <w:rPr>
                <w:rFonts w:ascii="Segoe UI" w:eastAsia="宋体" w:hAnsi="Segoe UI" w:cs="Segoe UI"/>
                <w:color w:val="333333"/>
                <w:kern w:val="0"/>
                <w:sz w:val="18"/>
                <w:szCs w:val="18"/>
              </w:rPr>
              <w:t>Broihahn</w:t>
            </w:r>
            <w:proofErr w:type="spellEnd"/>
            <w:r w:rsidRPr="008070C7">
              <w:rPr>
                <w:rFonts w:ascii="Segoe UI" w:eastAsia="宋体" w:hAnsi="Segoe UI" w:cs="Segoe UI"/>
                <w:color w:val="333333"/>
                <w:kern w:val="0"/>
                <w:sz w:val="18"/>
                <w:szCs w:val="18"/>
              </w:rPr>
              <w:t>, CFA</w:t>
            </w:r>
            <w:r w:rsidRPr="008070C7">
              <w:rPr>
                <w:rFonts w:ascii="Segoe UI" w:eastAsia="宋体" w:hAnsi="Segoe UI" w:cs="Segoe UI"/>
                <w:color w:val="333333"/>
                <w:kern w:val="0"/>
                <w:sz w:val="18"/>
                <w:szCs w:val="18"/>
              </w:rPr>
              <w:br/>
              <w:t>2011 Modular Level I, Vol. 3, pp. 333–335</w:t>
            </w:r>
            <w:r w:rsidRPr="008070C7">
              <w:rPr>
                <w:rFonts w:ascii="Segoe UI" w:eastAsia="宋体" w:hAnsi="Segoe UI" w:cs="Segoe UI"/>
                <w:color w:val="333333"/>
                <w:kern w:val="0"/>
                <w:sz w:val="18"/>
                <w:szCs w:val="18"/>
              </w:rPr>
              <w:br/>
              <w:t>"Non-Current (Long-Term) Liabilities," Elizabeth A. Gordon and Elaine Henry, CFA</w:t>
            </w:r>
            <w:r w:rsidRPr="008070C7">
              <w:rPr>
                <w:rFonts w:ascii="Segoe UI" w:eastAsia="宋体" w:hAnsi="Segoe UI" w:cs="Segoe UI"/>
                <w:color w:val="333333"/>
                <w:kern w:val="0"/>
                <w:sz w:val="18"/>
                <w:szCs w:val="18"/>
              </w:rPr>
              <w:br/>
              <w:t>2011 Modular Level I, Vol. 3, pp. 542–545</w:t>
            </w:r>
            <w:r w:rsidRPr="008070C7">
              <w:rPr>
                <w:rFonts w:ascii="Segoe UI" w:eastAsia="宋体" w:hAnsi="Segoe UI" w:cs="Segoe UI"/>
                <w:color w:val="333333"/>
                <w:kern w:val="0"/>
                <w:sz w:val="18"/>
                <w:szCs w:val="18"/>
              </w:rPr>
              <w:br/>
              <w:t>Study Sessions 8–35–d, 9–39–l</w:t>
            </w:r>
            <w:r w:rsidRPr="008070C7">
              <w:rPr>
                <w:rFonts w:ascii="Segoe UI" w:eastAsia="宋体" w:hAnsi="Segoe UI" w:cs="Segoe UI"/>
                <w:color w:val="333333"/>
                <w:kern w:val="0"/>
                <w:sz w:val="18"/>
                <w:szCs w:val="18"/>
              </w:rPr>
              <w:br/>
              <w:t>Calculate, classify, and interpret activity, liquidity, solvency, profitability, and valuation ratios.</w:t>
            </w:r>
            <w:r w:rsidRPr="008070C7">
              <w:rPr>
                <w:rFonts w:ascii="Segoe UI" w:eastAsia="宋体" w:hAnsi="Segoe UI" w:cs="Segoe UI"/>
                <w:color w:val="333333"/>
                <w:kern w:val="0"/>
                <w:sz w:val="18"/>
                <w:szCs w:val="18"/>
              </w:rPr>
              <w:br/>
              <w:t>Calculate and interpret leverage and coverage ratios.</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The debt-to-equity ratio decreased thereby improving solvency; the fixed charge coverage ratio remained the same. </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4762500" cy="1352550"/>
                  <wp:effectExtent l="19050" t="0" r="0" b="0"/>
                  <wp:docPr id="121" name="图片 121" descr="https://nlb4.testrac.com/cfa/graphics/FSL1V120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nlb4.testrac.com/cfa/graphics/FSL1V1201111.jpg"/>
                          <pic:cNvPicPr>
                            <a:picLocks noChangeAspect="1" noChangeArrowheads="1"/>
                          </pic:cNvPicPr>
                        </pic:nvPicPr>
                        <pic:blipFill>
                          <a:blip r:embed="rId51"/>
                          <a:srcRect/>
                          <a:stretch>
                            <a:fillRect/>
                          </a:stretch>
                        </pic:blipFill>
                        <pic:spPr bwMode="auto">
                          <a:xfrm>
                            <a:off x="0" y="0"/>
                            <a:ext cx="4762500" cy="1352550"/>
                          </a:xfrm>
                          <a:prstGeom prst="rect">
                            <a:avLst/>
                          </a:prstGeom>
                          <a:noFill/>
                          <a:ln w="9525">
                            <a:noFill/>
                            <a:miter lim="800000"/>
                            <a:headEnd/>
                            <a:tailEnd/>
                          </a:ln>
                        </pic:spPr>
                      </pic:pic>
                    </a:graphicData>
                  </a:graphic>
                </wp:inline>
              </w:drawing>
            </w:r>
            <w:r w:rsidRPr="008070C7">
              <w:rPr>
                <w:rFonts w:ascii="Segoe UI" w:eastAsia="宋体" w:hAnsi="Segoe UI" w:cs="Segoe UI"/>
                <w:color w:val="333333"/>
                <w:kern w:val="0"/>
                <w:sz w:val="18"/>
                <w:szCs w:val="18"/>
              </w:rPr>
              <w:t> </w:t>
            </w:r>
          </w:p>
        </w:tc>
      </w:tr>
    </w:tbl>
    <w:p w:rsidR="008070C7" w:rsidRDefault="008070C7">
      <w:pPr>
        <w:rPr>
          <w:rFonts w:hint="eastAsia"/>
        </w:rPr>
      </w:pPr>
    </w:p>
    <w:tbl>
      <w:tblPr>
        <w:tblW w:w="5000" w:type="pct"/>
        <w:tblCellSpacing w:w="15" w:type="dxa"/>
        <w:tblCellMar>
          <w:top w:w="30" w:type="dxa"/>
          <w:left w:w="30" w:type="dxa"/>
          <w:bottom w:w="30" w:type="dxa"/>
          <w:right w:w="30" w:type="dxa"/>
        </w:tblCellMar>
        <w:tblLook w:val="04A0"/>
      </w:tblPr>
      <w:tblGrid>
        <w:gridCol w:w="420"/>
        <w:gridCol w:w="609"/>
        <w:gridCol w:w="7124"/>
        <w:gridCol w:w="96"/>
        <w:gridCol w:w="96"/>
        <w:gridCol w:w="111"/>
      </w:tblGrid>
      <w:tr w:rsidR="008070C7" w:rsidRPr="008070C7" w:rsidTr="008070C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070C7" w:rsidRPr="008070C7" w:rsidRDefault="008070C7" w:rsidP="008070C7">
            <w:pPr>
              <w:widowControl/>
              <w:jc w:val="left"/>
              <w:rPr>
                <w:rFonts w:ascii="Segoe UI" w:eastAsia="宋体" w:hAnsi="Segoe UI" w:cs="Segoe UI"/>
                <w:b/>
                <w:bCs/>
                <w:color w:val="000000"/>
                <w:kern w:val="0"/>
                <w:sz w:val="18"/>
                <w:szCs w:val="18"/>
              </w:rPr>
            </w:pPr>
            <w:r w:rsidRPr="008070C7">
              <w:rPr>
                <w:rFonts w:ascii="Segoe UI" w:eastAsia="宋体" w:hAnsi="Segoe UI" w:cs="Segoe UI"/>
                <w:b/>
                <w:bCs/>
                <w:color w:val="000000"/>
                <w:kern w:val="0"/>
                <w:sz w:val="18"/>
                <w:szCs w:val="18"/>
              </w:rPr>
              <w:t>34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Which of the following will </w:t>
            </w:r>
            <w:r w:rsidRPr="008070C7">
              <w:rPr>
                <w:rFonts w:ascii="Segoe UI" w:eastAsia="宋体" w:hAnsi="Segoe UI" w:cs="Segoe UI"/>
                <w:i/>
                <w:iCs/>
                <w:color w:val="333333"/>
                <w:kern w:val="0"/>
                <w:sz w:val="18"/>
                <w:szCs w:val="18"/>
              </w:rPr>
              <w:t>most likely</w:t>
            </w:r>
            <w:r w:rsidRPr="008070C7">
              <w:rPr>
                <w:rFonts w:ascii="Segoe UI" w:eastAsia="宋体" w:hAnsi="Segoe UI" w:cs="Segoe UI"/>
                <w:color w:val="333333"/>
                <w:kern w:val="0"/>
                <w:sz w:val="18"/>
                <w:szCs w:val="18"/>
              </w:rPr>
              <w:t xml:space="preserve"> increase a company’s operating cash flow? An increase in:</w:t>
            </w: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64" type="#_x0000_t75" style="width:20.25pt;height:15.75pt" o:ole="">
                  <v:imagedata r:id="rId7" o:title=""/>
                </v:shape>
                <w:control r:id="rId52" w:name="DefaultOcxName34" w:shapeid="_x0000_i116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A.</w:t>
            </w:r>
            <w:r w:rsidRPr="008070C7">
              <w:rPr>
                <w:rFonts w:ascii="Segoe UI" w:eastAsia="宋体" w:hAnsi="Segoe UI" w:cs="Segoe UI"/>
                <w:color w:val="000000"/>
                <w:kern w:val="0"/>
                <w:sz w:val="18"/>
                <w:szCs w:val="18"/>
              </w:rPr>
              <w:t xml:space="preserve"> days sales payable (DSP).</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63" type="#_x0000_t75" style="width:20.25pt;height:15.75pt" o:ole="">
                  <v:imagedata r:id="rId9" o:title=""/>
                </v:shape>
                <w:control r:id="rId53" w:name="DefaultOcxName114" w:shapeid="_x0000_i11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B.</w:t>
            </w:r>
            <w:r w:rsidRPr="008070C7">
              <w:rPr>
                <w:rFonts w:ascii="Segoe UI" w:eastAsia="宋体" w:hAnsi="Segoe UI" w:cs="Segoe UI"/>
                <w:color w:val="000000"/>
                <w:kern w:val="0"/>
                <w:sz w:val="18"/>
                <w:szCs w:val="18"/>
              </w:rPr>
              <w:t xml:space="preserve"> gains on the sale of long-term assets.</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62" type="#_x0000_t75" style="width:20.25pt;height:15.75pt" o:ole="">
                  <v:imagedata r:id="rId9" o:title=""/>
                </v:shape>
                <w:control r:id="rId54" w:name="DefaultOcxName214" w:shapeid="_x0000_i11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C.</w:t>
            </w:r>
            <w:r w:rsidRPr="008070C7">
              <w:rPr>
                <w:rFonts w:ascii="Segoe UI" w:eastAsia="宋体" w:hAnsi="Segoe UI" w:cs="Segoe UI"/>
                <w:color w:val="000000"/>
                <w:kern w:val="0"/>
                <w:sz w:val="18"/>
                <w:szCs w:val="18"/>
              </w:rPr>
              <w:t xml:space="preserve"> use of operating leases versus financing leases.</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noWrap/>
            <w:vAlign w:val="center"/>
            <w:hideMark/>
          </w:tcPr>
          <w:p w:rsidR="008070C7" w:rsidRPr="008070C7" w:rsidRDefault="008070C7" w:rsidP="008070C7">
            <w:pPr>
              <w:widowControl/>
              <w:jc w:val="center"/>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0" w:type="auto"/>
            <w:gridSpan w:val="5"/>
            <w:shd w:val="clear" w:color="auto" w:fill="9ACD32"/>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b/>
                <w:bCs/>
                <w:color w:val="000080"/>
                <w:kern w:val="0"/>
                <w:sz w:val="16"/>
                <w:szCs w:val="16"/>
              </w:rPr>
              <w:t>Feedback:</w:t>
            </w:r>
            <w:r w:rsidRPr="008070C7">
              <w:rPr>
                <w:rFonts w:ascii="Segoe UI" w:eastAsia="宋体" w:hAnsi="Segoe UI" w:cs="Segoe UI"/>
                <w:color w:val="333333"/>
                <w:kern w:val="0"/>
                <w:sz w:val="18"/>
                <w:szCs w:val="18"/>
              </w:rPr>
              <w:t xml:space="preserve"> You have answered correctly.</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Correct answer: </w:t>
            </w:r>
            <w:r w:rsidRPr="008070C7">
              <w:rPr>
                <w:rFonts w:ascii="Segoe UI" w:eastAsia="宋体" w:hAnsi="Segoe UI" w:cs="Segoe UI"/>
                <w:b/>
                <w:bCs/>
                <w:color w:val="333333"/>
                <w:kern w:val="0"/>
                <w:sz w:val="18"/>
                <w:szCs w:val="18"/>
              </w:rPr>
              <w:t>A</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lastRenderedPageBreak/>
              <w:t>"Non-Current (Long-Term) Liabilities," Elizabeth A. Gordon and Elaine Henry, CFA</w:t>
            </w:r>
            <w:r w:rsidRPr="008070C7">
              <w:rPr>
                <w:rFonts w:ascii="Segoe UI" w:eastAsia="宋体" w:hAnsi="Segoe UI" w:cs="Segoe UI"/>
                <w:color w:val="333333"/>
                <w:kern w:val="0"/>
                <w:sz w:val="18"/>
                <w:szCs w:val="18"/>
              </w:rPr>
              <w:br/>
              <w:t>2011 Modular Level I, Vol. 3, p. 537</w:t>
            </w:r>
            <w:r w:rsidRPr="008070C7">
              <w:rPr>
                <w:rFonts w:ascii="Segoe UI" w:eastAsia="宋体" w:hAnsi="Segoe UI" w:cs="Segoe UI"/>
                <w:color w:val="333333"/>
                <w:kern w:val="0"/>
                <w:sz w:val="18"/>
                <w:szCs w:val="18"/>
              </w:rPr>
              <w:br/>
              <w:t>"Accounting Shenanigans on the Cash Flow Statement," Marc A. Siegel</w:t>
            </w:r>
            <w:r w:rsidRPr="008070C7">
              <w:rPr>
                <w:rFonts w:ascii="Segoe UI" w:eastAsia="宋体" w:hAnsi="Segoe UI" w:cs="Segoe UI"/>
                <w:color w:val="333333"/>
                <w:kern w:val="0"/>
                <w:sz w:val="18"/>
                <w:szCs w:val="18"/>
              </w:rPr>
              <w:br/>
              <w:t>2011 Modular Level I, Vol. 3, pp. 578–579</w:t>
            </w:r>
            <w:r w:rsidRPr="008070C7">
              <w:rPr>
                <w:rFonts w:ascii="Segoe UI" w:eastAsia="宋体" w:hAnsi="Segoe UI" w:cs="Segoe UI"/>
                <w:color w:val="333333"/>
                <w:kern w:val="0"/>
                <w:sz w:val="18"/>
                <w:szCs w:val="18"/>
              </w:rPr>
              <w:br/>
              <w:t>Study Sessions 9–39–i, 10–41</w:t>
            </w:r>
            <w:r w:rsidRPr="008070C7">
              <w:rPr>
                <w:rFonts w:ascii="Segoe UI" w:eastAsia="宋体" w:hAnsi="Segoe UI" w:cs="Segoe UI"/>
                <w:color w:val="333333"/>
                <w:kern w:val="0"/>
                <w:sz w:val="18"/>
                <w:szCs w:val="18"/>
              </w:rPr>
              <w:br/>
              <w:t>Compare and contrast the disclosures relating to finance and operating leases.</w:t>
            </w:r>
            <w:r w:rsidRPr="008070C7">
              <w:rPr>
                <w:rFonts w:ascii="Segoe UI" w:eastAsia="宋体" w:hAnsi="Segoe UI" w:cs="Segoe UI"/>
                <w:color w:val="333333"/>
                <w:kern w:val="0"/>
                <w:sz w:val="18"/>
                <w:szCs w:val="18"/>
              </w:rPr>
              <w:br/>
              <w:t>The candidate should be able to analyze and discuss the following ways to manipulate the cash flow statement:</w:t>
            </w:r>
          </w:p>
          <w:p w:rsidR="008070C7" w:rsidRPr="008070C7" w:rsidRDefault="008070C7" w:rsidP="008070C7">
            <w:pPr>
              <w:widowControl/>
              <w:numPr>
                <w:ilvl w:val="0"/>
                <w:numId w:val="1"/>
              </w:numPr>
              <w:spacing w:before="100" w:beforeAutospacing="1" w:after="100" w:afterAutospacing="1"/>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stretching out payables, </w:t>
            </w:r>
          </w:p>
          <w:p w:rsidR="008070C7" w:rsidRPr="008070C7" w:rsidRDefault="008070C7" w:rsidP="008070C7">
            <w:pPr>
              <w:widowControl/>
              <w:numPr>
                <w:ilvl w:val="0"/>
                <w:numId w:val="1"/>
              </w:numPr>
              <w:spacing w:before="100" w:beforeAutospacing="1" w:after="100" w:afterAutospacing="1"/>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financing of payables, </w:t>
            </w:r>
          </w:p>
          <w:p w:rsidR="008070C7" w:rsidRPr="008070C7" w:rsidRDefault="008070C7" w:rsidP="008070C7">
            <w:pPr>
              <w:widowControl/>
              <w:numPr>
                <w:ilvl w:val="0"/>
                <w:numId w:val="1"/>
              </w:numPr>
              <w:spacing w:before="100" w:beforeAutospacing="1" w:after="100" w:afterAutospacing="1"/>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securitization of receivables, and </w:t>
            </w:r>
          </w:p>
          <w:p w:rsidR="008070C7" w:rsidRPr="008070C7" w:rsidRDefault="008070C7" w:rsidP="008070C7">
            <w:pPr>
              <w:widowControl/>
              <w:numPr>
                <w:ilvl w:val="0"/>
                <w:numId w:val="1"/>
              </w:numPr>
              <w:spacing w:before="100" w:beforeAutospacing="1" w:after="100" w:afterAutospacing="1"/>
              <w:jc w:val="left"/>
              <w:rPr>
                <w:rFonts w:ascii="Segoe UI" w:eastAsia="宋体" w:hAnsi="Segoe UI" w:cs="Segoe UI"/>
                <w:color w:val="333333"/>
                <w:kern w:val="0"/>
                <w:sz w:val="18"/>
                <w:szCs w:val="18"/>
              </w:rPr>
            </w:pPr>
            <w:proofErr w:type="gramStart"/>
            <w:r w:rsidRPr="008070C7">
              <w:rPr>
                <w:rFonts w:ascii="Segoe UI" w:eastAsia="宋体" w:hAnsi="Segoe UI" w:cs="Segoe UI"/>
                <w:color w:val="333333"/>
                <w:kern w:val="0"/>
                <w:sz w:val="18"/>
                <w:szCs w:val="18"/>
              </w:rPr>
              <w:t>using</w:t>
            </w:r>
            <w:proofErr w:type="gramEnd"/>
            <w:r w:rsidRPr="008070C7">
              <w:rPr>
                <w:rFonts w:ascii="Segoe UI" w:eastAsia="宋体" w:hAnsi="Segoe UI" w:cs="Segoe UI"/>
                <w:color w:val="333333"/>
                <w:kern w:val="0"/>
                <w:sz w:val="18"/>
                <w:szCs w:val="18"/>
              </w:rPr>
              <w:t xml:space="preserve"> stock buybacks to offset dilution of earnings. </w:t>
            </w:r>
          </w:p>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br/>
              <w:t xml:space="preserve">An increase in the </w:t>
            </w:r>
            <w:proofErr w:type="gramStart"/>
            <w:r w:rsidRPr="008070C7">
              <w:rPr>
                <w:rFonts w:ascii="Segoe UI" w:eastAsia="宋体" w:hAnsi="Segoe UI" w:cs="Segoe UI"/>
                <w:color w:val="333333"/>
                <w:kern w:val="0"/>
                <w:sz w:val="18"/>
                <w:szCs w:val="18"/>
              </w:rPr>
              <w:t>days</w:t>
            </w:r>
            <w:proofErr w:type="gramEnd"/>
            <w:r w:rsidRPr="008070C7">
              <w:rPr>
                <w:rFonts w:ascii="Segoe UI" w:eastAsia="宋体" w:hAnsi="Segoe UI" w:cs="Segoe UI"/>
                <w:color w:val="333333"/>
                <w:kern w:val="0"/>
                <w:sz w:val="18"/>
                <w:szCs w:val="18"/>
              </w:rPr>
              <w:t xml:space="preserve"> sales payable would indicate the company is stretching out its payables, which would increase the cash from operations. </w:t>
            </w:r>
          </w:p>
        </w:tc>
      </w:tr>
    </w:tbl>
    <w:p w:rsidR="008070C7" w:rsidRDefault="008070C7">
      <w:pPr>
        <w:rPr>
          <w:rFonts w:hint="eastAsia"/>
        </w:rPr>
      </w:pPr>
    </w:p>
    <w:tbl>
      <w:tblPr>
        <w:tblW w:w="5000" w:type="pct"/>
        <w:tblCellSpacing w:w="15" w:type="dxa"/>
        <w:tblCellMar>
          <w:top w:w="30" w:type="dxa"/>
          <w:left w:w="30" w:type="dxa"/>
          <w:bottom w:w="30" w:type="dxa"/>
          <w:right w:w="30" w:type="dxa"/>
        </w:tblCellMar>
        <w:tblLook w:val="04A0"/>
      </w:tblPr>
      <w:tblGrid>
        <w:gridCol w:w="420"/>
        <w:gridCol w:w="540"/>
        <w:gridCol w:w="7193"/>
        <w:gridCol w:w="96"/>
        <w:gridCol w:w="96"/>
        <w:gridCol w:w="111"/>
      </w:tblGrid>
      <w:tr w:rsidR="008070C7" w:rsidRPr="008070C7" w:rsidTr="008070C7">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070C7" w:rsidRPr="008070C7" w:rsidRDefault="008070C7" w:rsidP="008070C7">
            <w:pPr>
              <w:widowControl/>
              <w:jc w:val="left"/>
              <w:rPr>
                <w:rFonts w:ascii="Segoe UI" w:eastAsia="宋体" w:hAnsi="Segoe UI" w:cs="Segoe UI"/>
                <w:b/>
                <w:bCs/>
                <w:color w:val="000000"/>
                <w:kern w:val="0"/>
                <w:sz w:val="18"/>
                <w:szCs w:val="18"/>
              </w:rPr>
            </w:pPr>
            <w:r w:rsidRPr="008070C7">
              <w:rPr>
                <w:rFonts w:ascii="Segoe UI" w:eastAsia="宋体" w:hAnsi="Segoe UI" w:cs="Segoe UI"/>
                <w:b/>
                <w:bCs/>
                <w:color w:val="000000"/>
                <w:kern w:val="0"/>
                <w:sz w:val="18"/>
                <w:szCs w:val="18"/>
              </w:rPr>
              <w:t>35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xml:space="preserve">When computing the cash flows for a capital project, which of the following is </w:t>
            </w:r>
            <w:r w:rsidRPr="008070C7">
              <w:rPr>
                <w:rFonts w:ascii="Segoe UI" w:eastAsia="宋体" w:hAnsi="Segoe UI" w:cs="Segoe UI"/>
                <w:i/>
                <w:iCs/>
                <w:color w:val="333333"/>
                <w:kern w:val="0"/>
                <w:sz w:val="18"/>
                <w:szCs w:val="18"/>
              </w:rPr>
              <w:t>least likely</w:t>
            </w:r>
            <w:r w:rsidRPr="008070C7">
              <w:rPr>
                <w:rFonts w:ascii="Segoe UI" w:eastAsia="宋体" w:hAnsi="Segoe UI" w:cs="Segoe UI"/>
                <w:color w:val="333333"/>
                <w:kern w:val="0"/>
                <w:sz w:val="18"/>
                <w:szCs w:val="18"/>
              </w:rPr>
              <w:t xml:space="preserve"> to be included?</w:t>
            </w: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73" type="#_x0000_t75" style="width:20.25pt;height:15.75pt" o:ole="">
                  <v:imagedata r:id="rId7" o:title=""/>
                </v:shape>
                <w:control r:id="rId55" w:name="DefaultOcxName35" w:shapeid="_x0000_i117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A.</w:t>
            </w:r>
            <w:r w:rsidRPr="008070C7">
              <w:rPr>
                <w:rFonts w:ascii="Segoe UI" w:eastAsia="宋体" w:hAnsi="Segoe UI" w:cs="Segoe UI"/>
                <w:color w:val="000000"/>
                <w:kern w:val="0"/>
                <w:sz w:val="18"/>
                <w:szCs w:val="18"/>
              </w:rPr>
              <w:t xml:space="preserve"> Tax effects</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72" type="#_x0000_t75" style="width:20.25pt;height:15.75pt" o:ole="">
                  <v:imagedata r:id="rId9" o:title=""/>
                </v:shape>
                <w:control r:id="rId56" w:name="DefaultOcxName115" w:shapeid="_x0000_i11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B.</w:t>
            </w:r>
            <w:r w:rsidRPr="008070C7">
              <w:rPr>
                <w:rFonts w:ascii="Segoe UI" w:eastAsia="宋体" w:hAnsi="Segoe UI" w:cs="Segoe UI"/>
                <w:color w:val="000000"/>
                <w:kern w:val="0"/>
                <w:sz w:val="18"/>
                <w:szCs w:val="18"/>
              </w:rPr>
              <w:t xml:space="preserve"> Financing costs</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070C7" w:rsidRPr="008070C7" w:rsidRDefault="008070C7" w:rsidP="008070C7">
            <w:pPr>
              <w:widowControl/>
              <w:jc w:val="center"/>
              <w:rPr>
                <w:rFonts w:ascii="Segoe UI" w:eastAsia="宋体" w:hAnsi="Segoe UI" w:cs="Segoe UI"/>
                <w:color w:val="000000"/>
                <w:kern w:val="0"/>
                <w:sz w:val="18"/>
                <w:szCs w:val="18"/>
              </w:rPr>
            </w:pPr>
            <w:r w:rsidRPr="008070C7">
              <w:rPr>
                <w:rFonts w:ascii="Segoe UI" w:eastAsia="宋体" w:hAnsi="Segoe UI" w:cs="Segoe UI"/>
                <w:color w:val="000000"/>
                <w:kern w:val="0"/>
                <w:sz w:val="18"/>
                <w:szCs w:val="18"/>
              </w:rPr>
              <w:object w:dxaOrig="1440" w:dyaOrig="1440">
                <v:shape id="_x0000_i1171" type="#_x0000_t75" style="width:20.25pt;height:15.75pt" o:ole="">
                  <v:imagedata r:id="rId9" o:title=""/>
                </v:shape>
                <w:control r:id="rId57" w:name="DefaultOcxName215" w:shapeid="_x0000_i11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070C7" w:rsidRPr="008070C7" w:rsidRDefault="008070C7" w:rsidP="008070C7">
            <w:pPr>
              <w:widowControl/>
              <w:jc w:val="left"/>
              <w:rPr>
                <w:rFonts w:ascii="Segoe UI" w:eastAsia="宋体" w:hAnsi="Segoe UI" w:cs="Segoe UI"/>
                <w:color w:val="000000"/>
                <w:kern w:val="0"/>
                <w:sz w:val="18"/>
                <w:szCs w:val="18"/>
              </w:rPr>
            </w:pPr>
            <w:r w:rsidRPr="008070C7">
              <w:rPr>
                <w:rFonts w:ascii="Segoe UI" w:eastAsia="宋体" w:hAnsi="Segoe UI" w:cs="Segoe UI"/>
                <w:b/>
                <w:bCs/>
                <w:color w:val="000000"/>
                <w:kern w:val="0"/>
                <w:sz w:val="18"/>
                <w:szCs w:val="18"/>
              </w:rPr>
              <w:t>C.</w:t>
            </w:r>
            <w:r w:rsidRPr="008070C7">
              <w:rPr>
                <w:rFonts w:ascii="Segoe UI" w:eastAsia="宋体" w:hAnsi="Segoe UI" w:cs="Segoe UI"/>
                <w:color w:val="000000"/>
                <w:kern w:val="0"/>
                <w:sz w:val="18"/>
                <w:szCs w:val="18"/>
              </w:rPr>
              <w:t xml:space="preserve"> Opportunity costs</w:t>
            </w: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c>
          <w:tcPr>
            <w:tcW w:w="0" w:type="auto"/>
            <w:vAlign w:val="center"/>
            <w:hideMark/>
          </w:tcPr>
          <w:p w:rsidR="008070C7" w:rsidRPr="008070C7" w:rsidRDefault="008070C7" w:rsidP="008070C7">
            <w:pPr>
              <w:widowControl/>
              <w:jc w:val="left"/>
              <w:rPr>
                <w:rFonts w:ascii="Times New Roman" w:eastAsia="Times New Roman" w:hAnsi="Times New Roman" w:cs="Times New Roman"/>
                <w:kern w:val="0"/>
                <w:sz w:val="20"/>
                <w:szCs w:val="20"/>
              </w:rPr>
            </w:pPr>
          </w:p>
        </w:tc>
      </w:tr>
      <w:tr w:rsidR="008070C7" w:rsidRPr="008070C7" w:rsidTr="008070C7">
        <w:trPr>
          <w:trHeight w:val="525"/>
          <w:tblCellSpacing w:w="15" w:type="dxa"/>
        </w:trPr>
        <w:tc>
          <w:tcPr>
            <w:tcW w:w="375" w:type="dxa"/>
            <w:noWrap/>
            <w:vAlign w:val="center"/>
            <w:hideMark/>
          </w:tcPr>
          <w:p w:rsidR="008070C7" w:rsidRPr="008070C7" w:rsidRDefault="008070C7" w:rsidP="008070C7">
            <w:pPr>
              <w:widowControl/>
              <w:jc w:val="center"/>
              <w:rPr>
                <w:rFonts w:ascii="Segoe UI" w:eastAsia="宋体" w:hAnsi="Segoe UI" w:cs="Segoe UI"/>
                <w:color w:val="333333"/>
                <w:kern w:val="0"/>
                <w:sz w:val="18"/>
                <w:szCs w:val="18"/>
              </w:rPr>
            </w:pPr>
            <w:r w:rsidRPr="008070C7">
              <w:rPr>
                <w:rFonts w:ascii="Segoe UI" w:eastAsia="宋体" w:hAnsi="Segoe UI" w:cs="Segoe UI"/>
                <w:color w:val="333333"/>
                <w:kern w:val="0"/>
                <w:sz w:val="18"/>
                <w:szCs w:val="18"/>
              </w:rPr>
              <w:t> </w:t>
            </w:r>
          </w:p>
        </w:tc>
        <w:tc>
          <w:tcPr>
            <w:tcW w:w="0" w:type="auto"/>
            <w:gridSpan w:val="5"/>
            <w:shd w:val="clear" w:color="auto" w:fill="FF6347"/>
            <w:vAlign w:val="center"/>
            <w:hideMark/>
          </w:tcPr>
          <w:p w:rsidR="008070C7" w:rsidRPr="008070C7" w:rsidRDefault="008070C7" w:rsidP="008070C7">
            <w:pPr>
              <w:widowControl/>
              <w:jc w:val="left"/>
              <w:rPr>
                <w:rFonts w:ascii="Segoe UI" w:eastAsia="宋体" w:hAnsi="Segoe UI" w:cs="Segoe UI"/>
                <w:color w:val="333333"/>
                <w:kern w:val="0"/>
                <w:sz w:val="18"/>
                <w:szCs w:val="18"/>
              </w:rPr>
            </w:pPr>
            <w:r w:rsidRPr="008070C7">
              <w:rPr>
                <w:rFonts w:ascii="Segoe UI" w:eastAsia="宋体" w:hAnsi="Segoe UI" w:cs="Segoe UI"/>
                <w:b/>
                <w:bCs/>
                <w:color w:val="000080"/>
                <w:kern w:val="0"/>
                <w:sz w:val="16"/>
                <w:szCs w:val="16"/>
              </w:rPr>
              <w:t>Feedback:</w:t>
            </w:r>
            <w:r w:rsidRPr="008070C7">
              <w:rPr>
                <w:rFonts w:ascii="Segoe UI" w:eastAsia="宋体" w:hAnsi="Segoe UI" w:cs="Segoe UI"/>
                <w:color w:val="333333"/>
                <w:kern w:val="0"/>
                <w:sz w:val="18"/>
                <w:szCs w:val="18"/>
              </w:rPr>
              <w:t xml:space="preserve"> You have answered incorrectly.</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 xml:space="preserve">Correct answer: </w:t>
            </w:r>
            <w:r w:rsidRPr="008070C7">
              <w:rPr>
                <w:rFonts w:ascii="Segoe UI" w:eastAsia="宋体" w:hAnsi="Segoe UI" w:cs="Segoe UI"/>
                <w:b/>
                <w:bCs/>
                <w:color w:val="333333"/>
                <w:kern w:val="0"/>
                <w:sz w:val="18"/>
                <w:szCs w:val="18"/>
              </w:rPr>
              <w:t>B</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"Capital Budgeting," John D. Stowe, CFA, and Jacques R. Gagne, CFA</w:t>
            </w:r>
            <w:r w:rsidRPr="008070C7">
              <w:rPr>
                <w:rFonts w:ascii="Segoe UI" w:eastAsia="宋体" w:hAnsi="Segoe UI" w:cs="Segoe UI"/>
                <w:color w:val="333333"/>
                <w:kern w:val="0"/>
                <w:sz w:val="18"/>
                <w:szCs w:val="18"/>
              </w:rPr>
              <w:br/>
              <w:t>2011 Modular Level I, Vol. 4, p. 8</w:t>
            </w:r>
            <w:r w:rsidRPr="008070C7">
              <w:rPr>
                <w:rFonts w:ascii="Segoe UI" w:eastAsia="宋体" w:hAnsi="Segoe UI" w:cs="Segoe UI"/>
                <w:color w:val="333333"/>
                <w:kern w:val="0"/>
                <w:sz w:val="18"/>
                <w:szCs w:val="18"/>
              </w:rPr>
              <w:br/>
              <w:t>Study Session 11–44–b</w:t>
            </w:r>
            <w:r w:rsidRPr="008070C7">
              <w:rPr>
                <w:rFonts w:ascii="Segoe UI" w:eastAsia="宋体" w:hAnsi="Segoe UI" w:cs="Segoe UI"/>
                <w:color w:val="333333"/>
                <w:kern w:val="0"/>
                <w:sz w:val="18"/>
                <w:szCs w:val="18"/>
              </w:rPr>
              <w:br/>
              <w:t>Discuss the basic principles of capital budgeting, including the choice of the proper cash flows.</w:t>
            </w:r>
            <w:r w:rsidRPr="008070C7">
              <w:rPr>
                <w:rFonts w:ascii="Segoe UI" w:eastAsia="宋体" w:hAnsi="Segoe UI" w:cs="Segoe UI"/>
                <w:color w:val="333333"/>
                <w:kern w:val="0"/>
                <w:sz w:val="18"/>
                <w:szCs w:val="18"/>
              </w:rPr>
              <w:br/>
            </w:r>
            <w:r w:rsidRPr="008070C7">
              <w:rPr>
                <w:rFonts w:ascii="Segoe UI" w:eastAsia="宋体" w:hAnsi="Segoe UI" w:cs="Segoe UI"/>
                <w:color w:val="333333"/>
                <w:kern w:val="0"/>
                <w:sz w:val="18"/>
                <w:szCs w:val="18"/>
              </w:rPr>
              <w:br/>
              <w:t>Financing costs are not included in a cash flow calculation, but are considered in the calculation of the discount rate. </w:t>
            </w:r>
          </w:p>
        </w:tc>
      </w:tr>
    </w:tbl>
    <w:p w:rsidR="008070C7" w:rsidRDefault="008070C7">
      <w:pPr>
        <w:rPr>
          <w:rFonts w:hint="eastAsia"/>
        </w:rPr>
      </w:pPr>
    </w:p>
    <w:tbl>
      <w:tblPr>
        <w:tblW w:w="5000" w:type="pct"/>
        <w:tblCellSpacing w:w="15" w:type="dxa"/>
        <w:tblCellMar>
          <w:top w:w="30" w:type="dxa"/>
          <w:left w:w="30" w:type="dxa"/>
          <w:bottom w:w="30" w:type="dxa"/>
          <w:right w:w="30" w:type="dxa"/>
        </w:tblCellMar>
        <w:tblLook w:val="04A0"/>
      </w:tblPr>
      <w:tblGrid>
        <w:gridCol w:w="420"/>
        <w:gridCol w:w="733"/>
        <w:gridCol w:w="7000"/>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36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xml:space="preserve">A firm’s estimated costs of debt, preferred stock, and common </w:t>
            </w:r>
            <w:proofErr w:type="gramStart"/>
            <w:r w:rsidRPr="005F5BB6">
              <w:rPr>
                <w:rFonts w:ascii="Segoe UI" w:eastAsia="宋体" w:hAnsi="Segoe UI" w:cs="Segoe UI"/>
                <w:color w:val="333333"/>
                <w:kern w:val="0"/>
                <w:sz w:val="18"/>
                <w:szCs w:val="18"/>
              </w:rPr>
              <w:t>stock are</w:t>
            </w:r>
            <w:proofErr w:type="gramEnd"/>
            <w:r w:rsidRPr="005F5BB6">
              <w:rPr>
                <w:rFonts w:ascii="Segoe UI" w:eastAsia="宋体" w:hAnsi="Segoe UI" w:cs="Segoe UI"/>
                <w:color w:val="333333"/>
                <w:kern w:val="0"/>
                <w:sz w:val="18"/>
                <w:szCs w:val="18"/>
              </w:rPr>
              <w:t xml:space="preserve"> 12 percent, 17 percent, and 20 percent, respectively. Assuming equal funding from each source and a 40 percent tax rate, the weighted average cost of capital is </w:t>
            </w:r>
            <w:r w:rsidRPr="005F5BB6">
              <w:rPr>
                <w:rFonts w:ascii="Segoe UI" w:eastAsia="宋体" w:hAnsi="Segoe UI" w:cs="Segoe UI"/>
                <w:i/>
                <w:iCs/>
                <w:color w:val="333333"/>
                <w:kern w:val="0"/>
                <w:sz w:val="18"/>
                <w:szCs w:val="18"/>
              </w:rPr>
              <w:t>closest</w:t>
            </w:r>
            <w:r w:rsidRPr="005F5BB6">
              <w:rPr>
                <w:rFonts w:ascii="Segoe UI" w:eastAsia="宋体" w:hAnsi="Segoe UI" w:cs="Segoe UI"/>
                <w:color w:val="333333"/>
                <w:kern w:val="0"/>
                <w:sz w:val="18"/>
                <w:szCs w:val="18"/>
              </w:rPr>
              <w:t xml:space="preserve"> to:</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82" type="#_x0000_t75" style="width:20.25pt;height:15.75pt" o:ole="">
                  <v:imagedata r:id="rId7" o:title=""/>
                </v:shape>
                <w:control r:id="rId58" w:name="DefaultOcxName36" w:shapeid="_x0000_i118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9.8%.</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81" type="#_x0000_t75" style="width:20.25pt;height:15.75pt" o:ole="">
                  <v:imagedata r:id="rId9" o:title=""/>
                </v:shape>
                <w:control r:id="rId59" w:name="DefaultOcxName116" w:shapeid="_x0000_i11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13.9%.</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80" type="#_x0000_t75" style="width:20.25pt;height:15.75pt" o:ole="">
                  <v:imagedata r:id="rId9" o:title=""/>
                </v:shape>
                <w:control r:id="rId60" w:name="DefaultOcxName216" w:shapeid="_x0000_i11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14.7%.</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FF6347"/>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incorrectly.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C</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"Cost of Capital," Yves </w:t>
            </w:r>
            <w:proofErr w:type="spellStart"/>
            <w:r w:rsidRPr="005F5BB6">
              <w:rPr>
                <w:rFonts w:ascii="Segoe UI" w:eastAsia="宋体" w:hAnsi="Segoe UI" w:cs="Segoe UI"/>
                <w:color w:val="333333"/>
                <w:kern w:val="0"/>
                <w:sz w:val="18"/>
                <w:szCs w:val="18"/>
              </w:rPr>
              <w:t>Courtois</w:t>
            </w:r>
            <w:proofErr w:type="spellEnd"/>
            <w:r w:rsidRPr="005F5BB6">
              <w:rPr>
                <w:rFonts w:ascii="Segoe UI" w:eastAsia="宋体" w:hAnsi="Segoe UI" w:cs="Segoe UI"/>
                <w:color w:val="333333"/>
                <w:kern w:val="0"/>
                <w:sz w:val="18"/>
                <w:szCs w:val="18"/>
              </w:rPr>
              <w:t>, CFA, Gene C. Lai, and Pamela Peterson Drake, CFA</w:t>
            </w:r>
            <w:r w:rsidRPr="005F5BB6">
              <w:rPr>
                <w:rFonts w:ascii="Segoe UI" w:eastAsia="宋体" w:hAnsi="Segoe UI" w:cs="Segoe UI"/>
                <w:color w:val="333333"/>
                <w:kern w:val="0"/>
                <w:sz w:val="18"/>
                <w:szCs w:val="18"/>
              </w:rPr>
              <w:br/>
              <w:t>2011 Modular Level I, Vol. 4, pp. 41–42</w:t>
            </w:r>
            <w:r w:rsidRPr="005F5BB6">
              <w:rPr>
                <w:rFonts w:ascii="Segoe UI" w:eastAsia="宋体" w:hAnsi="Segoe UI" w:cs="Segoe UI"/>
                <w:color w:val="333333"/>
                <w:kern w:val="0"/>
                <w:sz w:val="18"/>
                <w:szCs w:val="18"/>
              </w:rPr>
              <w:br/>
              <w:t>Study Session 11–45–a, b</w:t>
            </w:r>
            <w:r w:rsidRPr="005F5BB6">
              <w:rPr>
                <w:rFonts w:ascii="Segoe UI" w:eastAsia="宋体" w:hAnsi="Segoe UI" w:cs="Segoe UI"/>
                <w:color w:val="333333"/>
                <w:kern w:val="0"/>
                <w:sz w:val="18"/>
                <w:szCs w:val="18"/>
              </w:rPr>
              <w:br/>
              <w:t>Calculate and interpret the weighted average cost of capital (WACC) of a company.</w:t>
            </w:r>
            <w:r w:rsidRPr="005F5BB6">
              <w:rPr>
                <w:rFonts w:ascii="Segoe UI" w:eastAsia="宋体" w:hAnsi="Segoe UI" w:cs="Segoe UI"/>
                <w:color w:val="333333"/>
                <w:kern w:val="0"/>
                <w:sz w:val="18"/>
                <w:szCs w:val="18"/>
              </w:rPr>
              <w:br/>
              <w:t>Describe how taxes affect the cost of capital from different capital sources.</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WACC = </w:t>
            </w:r>
            <w:proofErr w:type="spellStart"/>
            <w:r w:rsidRPr="005F5BB6">
              <w:rPr>
                <w:rFonts w:ascii="Segoe UI" w:eastAsia="宋体" w:hAnsi="Segoe UI" w:cs="Segoe UI"/>
                <w:color w:val="333333"/>
                <w:kern w:val="0"/>
                <w:sz w:val="18"/>
                <w:szCs w:val="18"/>
              </w:rPr>
              <w:t>w</w:t>
            </w:r>
            <w:r w:rsidRPr="005F5BB6">
              <w:rPr>
                <w:rFonts w:ascii="Segoe UI" w:eastAsia="宋体" w:hAnsi="Segoe UI" w:cs="Segoe UI"/>
                <w:color w:val="333333"/>
                <w:kern w:val="0"/>
                <w:sz w:val="18"/>
                <w:szCs w:val="18"/>
                <w:vertAlign w:val="subscript"/>
              </w:rPr>
              <w:t>d</w:t>
            </w:r>
            <w:r w:rsidRPr="005F5BB6">
              <w:rPr>
                <w:rFonts w:ascii="Segoe UI" w:eastAsia="宋体" w:hAnsi="Segoe UI" w:cs="Segoe UI"/>
                <w:color w:val="333333"/>
                <w:kern w:val="0"/>
                <w:sz w:val="18"/>
                <w:szCs w:val="18"/>
              </w:rPr>
              <w:t>r</w:t>
            </w:r>
            <w:r w:rsidRPr="005F5BB6">
              <w:rPr>
                <w:rFonts w:ascii="Segoe UI" w:eastAsia="宋体" w:hAnsi="Segoe UI" w:cs="Segoe UI"/>
                <w:color w:val="333333"/>
                <w:kern w:val="0"/>
                <w:sz w:val="18"/>
                <w:szCs w:val="18"/>
                <w:vertAlign w:val="subscript"/>
              </w:rPr>
              <w:t>d</w:t>
            </w:r>
            <w:proofErr w:type="spellEnd"/>
            <w:r w:rsidRPr="005F5BB6">
              <w:rPr>
                <w:rFonts w:ascii="Segoe UI" w:eastAsia="宋体" w:hAnsi="Segoe UI" w:cs="Segoe UI"/>
                <w:color w:val="333333"/>
                <w:kern w:val="0"/>
                <w:sz w:val="18"/>
                <w:szCs w:val="18"/>
              </w:rPr>
              <w:t xml:space="preserve"> (1 – t) + </w:t>
            </w:r>
            <w:proofErr w:type="spellStart"/>
            <w:r w:rsidRPr="005F5BB6">
              <w:rPr>
                <w:rFonts w:ascii="Segoe UI" w:eastAsia="宋体" w:hAnsi="Segoe UI" w:cs="Segoe UI"/>
                <w:color w:val="333333"/>
                <w:kern w:val="0"/>
                <w:sz w:val="18"/>
                <w:szCs w:val="18"/>
              </w:rPr>
              <w:t>w</w:t>
            </w:r>
            <w:r w:rsidRPr="005F5BB6">
              <w:rPr>
                <w:rFonts w:ascii="Segoe UI" w:eastAsia="宋体" w:hAnsi="Segoe UI" w:cs="Segoe UI"/>
                <w:color w:val="333333"/>
                <w:kern w:val="0"/>
                <w:sz w:val="18"/>
                <w:szCs w:val="18"/>
                <w:vertAlign w:val="subscript"/>
              </w:rPr>
              <w:t>p</w:t>
            </w:r>
            <w:r w:rsidRPr="005F5BB6">
              <w:rPr>
                <w:rFonts w:ascii="Segoe UI" w:eastAsia="宋体" w:hAnsi="Segoe UI" w:cs="Segoe UI"/>
                <w:color w:val="333333"/>
                <w:kern w:val="0"/>
                <w:sz w:val="18"/>
                <w:szCs w:val="18"/>
              </w:rPr>
              <w:t>r</w:t>
            </w:r>
            <w:r w:rsidRPr="005F5BB6">
              <w:rPr>
                <w:rFonts w:ascii="Segoe UI" w:eastAsia="宋体" w:hAnsi="Segoe UI" w:cs="Segoe UI"/>
                <w:color w:val="333333"/>
                <w:kern w:val="0"/>
                <w:sz w:val="18"/>
                <w:szCs w:val="18"/>
                <w:vertAlign w:val="subscript"/>
              </w:rPr>
              <w:t>p</w:t>
            </w:r>
            <w:proofErr w:type="spellEnd"/>
            <w:r w:rsidRPr="005F5BB6">
              <w:rPr>
                <w:rFonts w:ascii="Segoe UI" w:eastAsia="宋体" w:hAnsi="Segoe UI" w:cs="Segoe UI"/>
                <w:color w:val="333333"/>
                <w:kern w:val="0"/>
                <w:sz w:val="18"/>
                <w:szCs w:val="18"/>
              </w:rPr>
              <w:t xml:space="preserve"> + w</w:t>
            </w:r>
            <w:r w:rsidRPr="005F5BB6">
              <w:rPr>
                <w:rFonts w:ascii="Segoe UI" w:eastAsia="宋体" w:hAnsi="Segoe UI" w:cs="Segoe UI"/>
                <w:color w:val="333333"/>
                <w:kern w:val="0"/>
                <w:sz w:val="18"/>
                <w:szCs w:val="18"/>
                <w:vertAlign w:val="subscript"/>
              </w:rPr>
              <w:t>e</w:t>
            </w:r>
            <w:r w:rsidRPr="005F5BB6">
              <w:rPr>
                <w:rFonts w:ascii="Segoe UI" w:eastAsia="宋体" w:hAnsi="Segoe UI" w:cs="Segoe UI"/>
                <w:color w:val="333333"/>
                <w:kern w:val="0"/>
                <w:sz w:val="18"/>
                <w:szCs w:val="18"/>
              </w:rPr>
              <w:t>r</w:t>
            </w:r>
            <w:r w:rsidRPr="005F5BB6">
              <w:rPr>
                <w:rFonts w:ascii="Segoe UI" w:eastAsia="宋体" w:hAnsi="Segoe UI" w:cs="Segoe UI"/>
                <w:color w:val="333333"/>
                <w:kern w:val="0"/>
                <w:sz w:val="18"/>
                <w:szCs w:val="18"/>
                <w:vertAlign w:val="subscript"/>
              </w:rPr>
              <w:t>e</w:t>
            </w:r>
            <w:r w:rsidRPr="005F5BB6">
              <w:rPr>
                <w:rFonts w:ascii="Segoe UI" w:eastAsia="宋体" w:hAnsi="Segoe UI" w:cs="Segoe UI"/>
                <w:color w:val="333333"/>
                <w:kern w:val="0"/>
                <w:sz w:val="18"/>
                <w:szCs w:val="18"/>
              </w:rPr>
              <w:t xml:space="preserve"> = [0.12 × (1 – 0.40) + 0.17 + 0.20] / 3 = 14.73%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665"/>
        <w:gridCol w:w="7068"/>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37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A project has the following annual cash flows:</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3"/>
              <w:gridCol w:w="1950"/>
              <w:gridCol w:w="1968"/>
              <w:gridCol w:w="2164"/>
            </w:tblGrid>
            <w:tr w:rsidR="005F5BB6" w:rsidRPr="005F5BB6">
              <w:trPr>
                <w:tblCellSpacing w:w="15"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Year 0</w:t>
                  </w:r>
                </w:p>
              </w:tc>
              <w:tc>
                <w:tcPr>
                  <w:tcW w:w="159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Year 1</w:t>
                  </w:r>
                </w:p>
              </w:tc>
              <w:tc>
                <w:tcPr>
                  <w:tcW w:w="160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Year 2</w:t>
                  </w:r>
                </w:p>
              </w:tc>
              <w:tc>
                <w:tcPr>
                  <w:tcW w:w="175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Year 3</w:t>
                  </w:r>
                </w:p>
              </w:tc>
            </w:tr>
            <w:tr w:rsidR="005F5BB6" w:rsidRPr="005F5BB6">
              <w:trPr>
                <w:tblCellSpacing w:w="15"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–$606,061</w:t>
                  </w:r>
                </w:p>
              </w:tc>
              <w:tc>
                <w:tcPr>
                  <w:tcW w:w="159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$2,151,515</w:t>
                  </w:r>
                </w:p>
              </w:tc>
              <w:tc>
                <w:tcPr>
                  <w:tcW w:w="160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–$2,542,424</w:t>
                  </w:r>
                </w:p>
              </w:tc>
              <w:tc>
                <w:tcPr>
                  <w:tcW w:w="175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$1,000,000</w:t>
                  </w:r>
                </w:p>
              </w:tc>
            </w:tr>
          </w:tbl>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br/>
              <w:t xml:space="preserve">Which discount rate </w:t>
            </w:r>
            <w:r w:rsidRPr="005F5BB6">
              <w:rPr>
                <w:rFonts w:ascii="Segoe UI" w:eastAsia="宋体" w:hAnsi="Segoe UI" w:cs="Segoe UI"/>
                <w:i/>
                <w:iCs/>
                <w:color w:val="333333"/>
                <w:kern w:val="0"/>
                <w:sz w:val="18"/>
                <w:szCs w:val="18"/>
              </w:rPr>
              <w:t>most likely</w:t>
            </w:r>
            <w:r w:rsidRPr="005F5BB6">
              <w:rPr>
                <w:rFonts w:ascii="Segoe UI" w:eastAsia="宋体" w:hAnsi="Segoe UI" w:cs="Segoe UI"/>
                <w:color w:val="333333"/>
                <w:kern w:val="0"/>
                <w:sz w:val="18"/>
                <w:szCs w:val="18"/>
              </w:rPr>
              <w:t xml:space="preserve"> provides a positive net present value?</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91" type="#_x0000_t75" style="width:20.25pt;height:15.75pt" o:ole="">
                  <v:imagedata r:id="rId7" o:title=""/>
                </v:shape>
                <w:control r:id="rId61" w:name="DefaultOcxName37" w:shapeid="_x0000_i119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15%</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90" type="#_x0000_t75" style="width:20.25pt;height:15.75pt" o:ole="">
                  <v:imagedata r:id="rId9" o:title=""/>
                </v:shape>
                <w:control r:id="rId62" w:name="DefaultOcxName117" w:shapeid="_x0000_i11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18%</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189" type="#_x0000_t75" style="width:20.25pt;height:15.75pt" o:ole="">
                  <v:imagedata r:id="rId9" o:title=""/>
                </v:shape>
                <w:control r:id="rId63" w:name="DefaultOcxName217" w:shapeid="_x0000_i11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21%</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FF6347"/>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incorrectly.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C</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"Capital Budgeting," John D. Stowe, CFA, and Jacques R. Gagne, CFA</w:t>
            </w:r>
            <w:r w:rsidRPr="005F5BB6">
              <w:rPr>
                <w:rFonts w:ascii="Segoe UI" w:eastAsia="宋体" w:hAnsi="Segoe UI" w:cs="Segoe UI"/>
                <w:color w:val="333333"/>
                <w:kern w:val="0"/>
                <w:sz w:val="18"/>
                <w:szCs w:val="18"/>
              </w:rPr>
              <w:br/>
              <w:t>2011 Modular Level I, Vol. 4, pp. 10–13, 17–19</w:t>
            </w:r>
            <w:r w:rsidRPr="005F5BB6">
              <w:rPr>
                <w:rFonts w:ascii="Segoe UI" w:eastAsia="宋体" w:hAnsi="Segoe UI" w:cs="Segoe UI"/>
                <w:color w:val="333333"/>
                <w:kern w:val="0"/>
                <w:sz w:val="18"/>
                <w:szCs w:val="18"/>
              </w:rPr>
              <w:br/>
              <w:t>Study Session 11–44–d, e</w:t>
            </w:r>
            <w:r w:rsidRPr="005F5BB6">
              <w:rPr>
                <w:rFonts w:ascii="Segoe UI" w:eastAsia="宋体" w:hAnsi="Segoe UI" w:cs="Segoe UI"/>
                <w:color w:val="333333"/>
                <w:kern w:val="0"/>
                <w:sz w:val="18"/>
                <w:szCs w:val="18"/>
              </w:rPr>
              <w:br/>
              <w:t xml:space="preserve">Calculate and interpret the results using each of the following methods to evaluate a single capital project: net present value (NPV), internal rate of return (IRR), payback period, discounted payback </w:t>
            </w:r>
            <w:r w:rsidRPr="005F5BB6">
              <w:rPr>
                <w:rFonts w:ascii="Segoe UI" w:eastAsia="宋体" w:hAnsi="Segoe UI" w:cs="Segoe UI"/>
                <w:color w:val="333333"/>
                <w:kern w:val="0"/>
                <w:sz w:val="18"/>
                <w:szCs w:val="18"/>
              </w:rPr>
              <w:lastRenderedPageBreak/>
              <w:t>period, and profitability index (PI).</w:t>
            </w:r>
            <w:r w:rsidRPr="005F5BB6">
              <w:rPr>
                <w:rFonts w:ascii="Segoe UI" w:eastAsia="宋体" w:hAnsi="Segoe UI" w:cs="Segoe UI"/>
                <w:color w:val="333333"/>
                <w:kern w:val="0"/>
                <w:sz w:val="18"/>
                <w:szCs w:val="18"/>
              </w:rPr>
              <w:br/>
              <w:t>Explain the NPV profile, compare and contrast the NPV and IRR methods when evaluating independent and mutually exclusive projects, and describe the problems associated with each of the evaluation methods.</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7"/>
              <w:gridCol w:w="936"/>
              <w:gridCol w:w="5472"/>
            </w:tblGrid>
            <w:tr w:rsidR="005F5BB6" w:rsidRPr="005F5BB6">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Discount Rate</w:t>
                  </w:r>
                </w:p>
              </w:tc>
              <w:tc>
                <w:tcPr>
                  <w:tcW w:w="97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NPV</w:t>
                  </w:r>
                </w:p>
              </w:tc>
              <w:tc>
                <w:tcPr>
                  <w:tcW w:w="59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Calculation</w:t>
                  </w:r>
                </w:p>
              </w:tc>
            </w:tr>
            <w:tr w:rsidR="005F5BB6" w:rsidRPr="005F5BB6">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15%</w:t>
                  </w:r>
                </w:p>
              </w:tc>
              <w:tc>
                <w:tcPr>
                  <w:tcW w:w="97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–100</w:t>
                  </w:r>
                </w:p>
              </w:tc>
              <w:tc>
                <w:tcPr>
                  <w:tcW w:w="59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–$606,061 + $2,151,515 / (1.15) – $2,542,424 / (1.15)</w:t>
                  </w:r>
                  <w:r w:rsidRPr="005F5BB6">
                    <w:rPr>
                      <w:rFonts w:ascii="Segoe UI" w:eastAsia="宋体" w:hAnsi="Segoe UI" w:cs="Segoe UI"/>
                      <w:color w:val="333333"/>
                      <w:kern w:val="0"/>
                      <w:sz w:val="18"/>
                      <w:szCs w:val="18"/>
                      <w:vertAlign w:val="superscript"/>
                    </w:rPr>
                    <w:t>2</w:t>
                  </w:r>
                  <w:r w:rsidRPr="005F5BB6">
                    <w:rPr>
                      <w:rFonts w:ascii="Segoe UI" w:eastAsia="宋体" w:hAnsi="Segoe UI" w:cs="Segoe UI"/>
                      <w:color w:val="333333"/>
                      <w:kern w:val="0"/>
                      <w:sz w:val="18"/>
                      <w:szCs w:val="18"/>
                    </w:rPr>
                    <w:t xml:space="preserve"> + $1,000,000 / (1.15)</w:t>
                  </w:r>
                  <w:r w:rsidRPr="005F5BB6">
                    <w:rPr>
                      <w:rFonts w:ascii="Segoe UI" w:eastAsia="宋体" w:hAnsi="Segoe UI" w:cs="Segoe UI"/>
                      <w:color w:val="333333"/>
                      <w:kern w:val="0"/>
                      <w:sz w:val="18"/>
                      <w:szCs w:val="18"/>
                      <w:vertAlign w:val="superscript"/>
                    </w:rPr>
                    <w:t>3</w:t>
                  </w:r>
                </w:p>
              </w:tc>
            </w:tr>
            <w:tr w:rsidR="005F5BB6" w:rsidRPr="005F5BB6">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18%</w:t>
                  </w:r>
                </w:p>
              </w:tc>
              <w:tc>
                <w:tcPr>
                  <w:tcW w:w="97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–42</w:t>
                  </w:r>
                </w:p>
              </w:tc>
              <w:tc>
                <w:tcPr>
                  <w:tcW w:w="59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–$606,061 + $2,151,515 / (1.18) – $2,542,424 / (1.18)</w:t>
                  </w:r>
                  <w:r w:rsidRPr="005F5BB6">
                    <w:rPr>
                      <w:rFonts w:ascii="Segoe UI" w:eastAsia="宋体" w:hAnsi="Segoe UI" w:cs="Segoe UI"/>
                      <w:color w:val="333333"/>
                      <w:kern w:val="0"/>
                      <w:sz w:val="18"/>
                      <w:szCs w:val="18"/>
                      <w:vertAlign w:val="superscript"/>
                    </w:rPr>
                    <w:t>2</w:t>
                  </w:r>
                  <w:r w:rsidRPr="005F5BB6">
                    <w:rPr>
                      <w:rFonts w:ascii="Segoe UI" w:eastAsia="宋体" w:hAnsi="Segoe UI" w:cs="Segoe UI"/>
                      <w:color w:val="333333"/>
                      <w:kern w:val="0"/>
                      <w:sz w:val="18"/>
                      <w:szCs w:val="18"/>
                    </w:rPr>
                    <w:t xml:space="preserve"> + $1,000,000 / (1.18)</w:t>
                  </w:r>
                  <w:r w:rsidRPr="005F5BB6">
                    <w:rPr>
                      <w:rFonts w:ascii="Segoe UI" w:eastAsia="宋体" w:hAnsi="Segoe UI" w:cs="Segoe UI"/>
                      <w:color w:val="333333"/>
                      <w:kern w:val="0"/>
                      <w:sz w:val="18"/>
                      <w:szCs w:val="18"/>
                      <w:vertAlign w:val="superscript"/>
                    </w:rPr>
                    <w:t>3</w:t>
                  </w:r>
                </w:p>
              </w:tc>
            </w:tr>
            <w:tr w:rsidR="005F5BB6" w:rsidRPr="005F5BB6">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21%</w:t>
                  </w:r>
                </w:p>
              </w:tc>
              <w:tc>
                <w:tcPr>
                  <w:tcW w:w="97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+15</w:t>
                  </w:r>
                </w:p>
              </w:tc>
              <w:tc>
                <w:tcPr>
                  <w:tcW w:w="59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–$606,061 + $2,151,515 / (1.21) – $2,542,424 / (1.21)</w:t>
                  </w:r>
                  <w:r w:rsidRPr="005F5BB6">
                    <w:rPr>
                      <w:rFonts w:ascii="Segoe UI" w:eastAsia="宋体" w:hAnsi="Segoe UI" w:cs="Segoe UI"/>
                      <w:color w:val="333333"/>
                      <w:kern w:val="0"/>
                      <w:sz w:val="18"/>
                      <w:szCs w:val="18"/>
                      <w:vertAlign w:val="superscript"/>
                    </w:rPr>
                    <w:t>2</w:t>
                  </w:r>
                  <w:r w:rsidRPr="005F5BB6">
                    <w:rPr>
                      <w:rFonts w:ascii="Segoe UI" w:eastAsia="宋体" w:hAnsi="Segoe UI" w:cs="Segoe UI"/>
                      <w:color w:val="333333"/>
                      <w:kern w:val="0"/>
                      <w:sz w:val="18"/>
                      <w:szCs w:val="18"/>
                    </w:rPr>
                    <w:t xml:space="preserve"> + $1,000,000 / (1.21)</w:t>
                  </w:r>
                  <w:r w:rsidRPr="005F5BB6">
                    <w:rPr>
                      <w:rFonts w:ascii="Segoe UI" w:eastAsia="宋体" w:hAnsi="Segoe UI" w:cs="Segoe UI"/>
                      <w:color w:val="333333"/>
                      <w:kern w:val="0"/>
                      <w:sz w:val="18"/>
                      <w:szCs w:val="18"/>
                      <w:vertAlign w:val="superscript"/>
                    </w:rPr>
                    <w:t>3</w:t>
                  </w:r>
                </w:p>
              </w:tc>
            </w:tr>
            <w:tr w:rsidR="005F5BB6" w:rsidRPr="005F5BB6">
              <w:trPr>
                <w:tblCellSpacing w:w="15" w:type="dxa"/>
              </w:trPr>
              <w:tc>
                <w:tcPr>
                  <w:tcW w:w="8685" w:type="dxa"/>
                  <w:gridSpan w:val="3"/>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The NPV at 21% is $15 while the other two NPVs are negative.</w:t>
                  </w:r>
                </w:p>
              </w:tc>
            </w:tr>
          </w:tbl>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589"/>
        <w:gridCol w:w="7144"/>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38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xml:space="preserve">Based on a need to borrow $2 million for one month, which of the following alternatives has the </w:t>
            </w:r>
            <w:r w:rsidRPr="005F5BB6">
              <w:rPr>
                <w:rFonts w:ascii="Segoe UI" w:eastAsia="宋体" w:hAnsi="Segoe UI" w:cs="Segoe UI"/>
                <w:i/>
                <w:iCs/>
                <w:color w:val="333333"/>
                <w:kern w:val="0"/>
                <w:sz w:val="18"/>
                <w:szCs w:val="18"/>
              </w:rPr>
              <w:t>least expensive</w:t>
            </w:r>
            <w:r w:rsidRPr="005F5BB6">
              <w:rPr>
                <w:rFonts w:ascii="Segoe UI" w:eastAsia="宋体" w:hAnsi="Segoe UI" w:cs="Segoe UI"/>
                <w:color w:val="333333"/>
                <w:kern w:val="0"/>
                <w:sz w:val="18"/>
                <w:szCs w:val="18"/>
              </w:rPr>
              <w:t xml:space="preserve"> effective annual cost?</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23" type="#_x0000_t75" style="width:20.25pt;height:15.75pt" o:ole="">
                  <v:imagedata r:id="rId7" o:title=""/>
                </v:shape>
                <w:control r:id="rId64" w:name="DefaultOcxName38" w:shapeid="_x0000_i122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A banker’s acceptance with an all-inclusive annual rate of 6.1%</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22" type="#_x0000_t75" style="width:20.25pt;height:15.75pt" o:ole="">
                  <v:imagedata r:id="rId9" o:title=""/>
                </v:shape>
                <w:control r:id="rId65" w:name="DefaultOcxName118" w:shapeid="_x0000_i122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A credit line at 6.0% annually with a 0.5% annual commitment fee</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21" type="#_x0000_t75" style="width:20.25pt;height:15.75pt" o:ole="">
                  <v:imagedata r:id="rId9" o:title=""/>
                </v:shape>
                <w:control r:id="rId66" w:name="DefaultOcxName218" w:shapeid="_x0000_i122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Commercial paper at 5.9% annually with a dealer’s commission of $3,000 (or 0.15%) and a backup line cost of $4,000 (or 0.20%)</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9ACD32"/>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A</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"Working Capital Management," Edgar A. Norton, Jr., CFA, Kenneth L. Parkinson, and Pamela Peterson Drake, CFA</w:t>
            </w:r>
            <w:r w:rsidRPr="005F5BB6">
              <w:rPr>
                <w:rFonts w:ascii="Segoe UI" w:eastAsia="宋体" w:hAnsi="Segoe UI" w:cs="Segoe UI"/>
                <w:color w:val="333333"/>
                <w:kern w:val="0"/>
                <w:sz w:val="18"/>
                <w:szCs w:val="18"/>
              </w:rPr>
              <w:br/>
              <w:t>2011 Modular Level I, Vol. 4, pp. 198–200</w:t>
            </w:r>
            <w:r w:rsidRPr="005F5BB6">
              <w:rPr>
                <w:rFonts w:ascii="Segoe UI" w:eastAsia="宋体" w:hAnsi="Segoe UI" w:cs="Segoe UI"/>
                <w:color w:val="333333"/>
                <w:kern w:val="0"/>
                <w:sz w:val="18"/>
                <w:szCs w:val="18"/>
              </w:rPr>
              <w:br/>
              <w:t>Study Session 11–48–g</w:t>
            </w:r>
            <w:r w:rsidRPr="005F5BB6">
              <w:rPr>
                <w:rFonts w:ascii="Segoe UI" w:eastAsia="宋体" w:hAnsi="Segoe UI" w:cs="Segoe UI"/>
                <w:color w:val="333333"/>
                <w:kern w:val="0"/>
                <w:sz w:val="18"/>
                <w:szCs w:val="18"/>
              </w:rPr>
              <w:br/>
              <w:t xml:space="preserve">Evaluate the choices of short-term funding available to a company and recommend a financing method. </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r>
          </w:p>
        </w:tc>
      </w:tr>
    </w:tbl>
    <w:p w:rsidR="005F5BB6" w:rsidRDefault="005F5BB6">
      <w:pPr>
        <w:rPr>
          <w:rFonts w:hint="eastAsia"/>
        </w:rPr>
      </w:pPr>
    </w:p>
    <w:p w:rsidR="005F5BB6" w:rsidRDefault="005F5BB6">
      <w:pPr>
        <w:rPr>
          <w:rFonts w:hint="eastAsia"/>
        </w:rPr>
      </w:pPr>
      <w:r>
        <w:rPr>
          <w:noProof/>
        </w:rPr>
        <w:lastRenderedPageBreak/>
        <w:drawing>
          <wp:inline distT="0" distB="0" distL="0" distR="0">
            <wp:extent cx="5274310" cy="1207372"/>
            <wp:effectExtent l="19050" t="0" r="2540" b="0"/>
            <wp:docPr id="200" name="图片 200" descr="C:\Documents and Settings\Administrator.846568D35A2A49C\Local Settings\Temporary Internet Files\Content.IE5\ZAGVFX8P\CFL1V12011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Documents and Settings\Administrator.846568D35A2A49C\Local Settings\Temporary Internet Files\Content.IE5\ZAGVFX8P\CFL1V1201104[1].jpg"/>
                    <pic:cNvPicPr>
                      <a:picLocks noChangeAspect="1" noChangeArrowheads="1"/>
                    </pic:cNvPicPr>
                  </pic:nvPicPr>
                  <pic:blipFill>
                    <a:blip r:embed="rId67"/>
                    <a:srcRect/>
                    <a:stretch>
                      <a:fillRect/>
                    </a:stretch>
                  </pic:blipFill>
                  <pic:spPr bwMode="auto">
                    <a:xfrm>
                      <a:off x="0" y="0"/>
                      <a:ext cx="5274310" cy="1207372"/>
                    </a:xfrm>
                    <a:prstGeom prst="rect">
                      <a:avLst/>
                    </a:prstGeom>
                    <a:noFill/>
                    <a:ln w="9525">
                      <a:noFill/>
                      <a:miter lim="800000"/>
                      <a:headEnd/>
                      <a:tailEnd/>
                    </a:ln>
                  </pic:spPr>
                </pic:pic>
              </a:graphicData>
            </a:graphic>
          </wp:inline>
        </w:drawing>
      </w:r>
    </w:p>
    <w:tbl>
      <w:tblPr>
        <w:tblW w:w="5000" w:type="pct"/>
        <w:tblCellSpacing w:w="15" w:type="dxa"/>
        <w:tblCellMar>
          <w:top w:w="30" w:type="dxa"/>
          <w:left w:w="30" w:type="dxa"/>
          <w:bottom w:w="30" w:type="dxa"/>
          <w:right w:w="30" w:type="dxa"/>
        </w:tblCellMar>
        <w:tblLook w:val="04A0"/>
      </w:tblPr>
      <w:tblGrid>
        <w:gridCol w:w="420"/>
        <w:gridCol w:w="544"/>
        <w:gridCol w:w="7189"/>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39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Given the following income statement:</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98"/>
              <w:gridCol w:w="2487"/>
            </w:tblGrid>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b/>
                      <w:bCs/>
                      <w:color w:val="333333"/>
                      <w:kern w:val="0"/>
                      <w:sz w:val="18"/>
                      <w:szCs w:val="18"/>
                    </w:rPr>
                    <w:t>$ millions</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Revenues</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9.8</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Variable Operating Costs</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7.2</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Fixed Operating Costs</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1.5</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Operating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1.1</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Interest</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0.6</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Taxable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0.5</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Tax</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0.2</w:t>
                  </w:r>
                </w:p>
              </w:tc>
            </w:tr>
            <w:tr w:rsidR="005F5BB6" w:rsidRPr="005F5BB6">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Net Income</w:t>
                  </w:r>
                </w:p>
              </w:tc>
              <w:tc>
                <w:tcPr>
                  <w:tcW w:w="1170" w:type="dxa"/>
                  <w:tcBorders>
                    <w:top w:val="outset" w:sz="6" w:space="0" w:color="auto"/>
                    <w:left w:val="outset" w:sz="6" w:space="0" w:color="auto"/>
                    <w:bottom w:val="outset" w:sz="6" w:space="0" w:color="auto"/>
                    <w:right w:val="outset" w:sz="6" w:space="0" w:color="auto"/>
                  </w:tcBorders>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0.3</w:t>
                  </w:r>
                </w:p>
              </w:tc>
            </w:tr>
          </w:tbl>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br/>
              <w:t xml:space="preserve">The company’s degree of operating leverage is </w:t>
            </w:r>
            <w:r w:rsidRPr="005F5BB6">
              <w:rPr>
                <w:rFonts w:ascii="Segoe UI" w:eastAsia="宋体" w:hAnsi="Segoe UI" w:cs="Segoe UI"/>
                <w:i/>
                <w:iCs/>
                <w:color w:val="333333"/>
                <w:kern w:val="0"/>
                <w:sz w:val="18"/>
                <w:szCs w:val="18"/>
              </w:rPr>
              <w:t>closest</w:t>
            </w:r>
            <w:r w:rsidRPr="005F5BB6">
              <w:rPr>
                <w:rFonts w:ascii="Segoe UI" w:eastAsia="宋体" w:hAnsi="Segoe UI" w:cs="Segoe UI"/>
                <w:color w:val="333333"/>
                <w:kern w:val="0"/>
                <w:sz w:val="18"/>
                <w:szCs w:val="18"/>
              </w:rPr>
              <w:t xml:space="preserve"> to:</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37" type="#_x0000_t75" style="width:20.25pt;height:15.75pt" o:ole="">
                  <v:imagedata r:id="rId7" o:title=""/>
                </v:shape>
                <w:control r:id="rId68" w:name="DefaultOcxName39" w:shapeid="_x0000_i123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1.1.</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36" type="#_x0000_t75" style="width:20.25pt;height:15.75pt" o:ole="">
                  <v:imagedata r:id="rId9" o:title=""/>
                </v:shape>
                <w:control r:id="rId69" w:name="DefaultOcxName119" w:shapeid="_x0000_i123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1.7.</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35" type="#_x0000_t75" style="width:20.25pt;height:15.75pt" o:ole="">
                  <v:imagedata r:id="rId9" o:title=""/>
                </v:shape>
                <w:control r:id="rId70" w:name="DefaultOcxName219" w:shapeid="_x0000_i123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2.4.</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FF6347"/>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incorrectly.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C</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"Measures of Leverage," Pamela Peterson Drake, CFA, Raj </w:t>
            </w:r>
            <w:proofErr w:type="spellStart"/>
            <w:r w:rsidRPr="005F5BB6">
              <w:rPr>
                <w:rFonts w:ascii="Segoe UI" w:eastAsia="宋体" w:hAnsi="Segoe UI" w:cs="Segoe UI"/>
                <w:color w:val="333333"/>
                <w:kern w:val="0"/>
                <w:sz w:val="18"/>
                <w:szCs w:val="18"/>
              </w:rPr>
              <w:t>Aggarwal</w:t>
            </w:r>
            <w:proofErr w:type="spellEnd"/>
            <w:r w:rsidRPr="005F5BB6">
              <w:rPr>
                <w:rFonts w:ascii="Segoe UI" w:eastAsia="宋体" w:hAnsi="Segoe UI" w:cs="Segoe UI"/>
                <w:color w:val="333333"/>
                <w:kern w:val="0"/>
                <w:sz w:val="18"/>
                <w:szCs w:val="18"/>
              </w:rPr>
              <w:t xml:space="preserve">, CFA, Cynthia Harrington, CFA, and Adam </w:t>
            </w:r>
            <w:proofErr w:type="spellStart"/>
            <w:r w:rsidRPr="005F5BB6">
              <w:rPr>
                <w:rFonts w:ascii="Segoe UI" w:eastAsia="宋体" w:hAnsi="Segoe UI" w:cs="Segoe UI"/>
                <w:color w:val="333333"/>
                <w:kern w:val="0"/>
                <w:sz w:val="18"/>
                <w:szCs w:val="18"/>
              </w:rPr>
              <w:t>Kobor</w:t>
            </w:r>
            <w:proofErr w:type="spellEnd"/>
            <w:r w:rsidRPr="005F5BB6">
              <w:rPr>
                <w:rFonts w:ascii="Segoe UI" w:eastAsia="宋体" w:hAnsi="Segoe UI" w:cs="Segoe UI"/>
                <w:color w:val="333333"/>
                <w:kern w:val="0"/>
                <w:sz w:val="18"/>
                <w:szCs w:val="18"/>
              </w:rPr>
              <w:t>, CFA</w:t>
            </w:r>
            <w:r w:rsidRPr="005F5BB6">
              <w:rPr>
                <w:rFonts w:ascii="Segoe UI" w:eastAsia="宋体" w:hAnsi="Segoe UI" w:cs="Segoe UI"/>
                <w:color w:val="333333"/>
                <w:kern w:val="0"/>
                <w:sz w:val="18"/>
                <w:szCs w:val="18"/>
              </w:rPr>
              <w:br/>
              <w:t xml:space="preserve">2011 Modular Level I, Vol. 4, pp. 97–98 </w:t>
            </w:r>
            <w:r w:rsidRPr="005F5BB6">
              <w:rPr>
                <w:rFonts w:ascii="Segoe UI" w:eastAsia="宋体" w:hAnsi="Segoe UI" w:cs="Segoe UI"/>
                <w:color w:val="333333"/>
                <w:kern w:val="0"/>
                <w:sz w:val="18"/>
                <w:szCs w:val="18"/>
              </w:rPr>
              <w:br/>
              <w:t>Study Session 11–46–b</w:t>
            </w:r>
            <w:r w:rsidRPr="005F5BB6">
              <w:rPr>
                <w:rFonts w:ascii="Segoe UI" w:eastAsia="宋体" w:hAnsi="Segoe UI" w:cs="Segoe UI"/>
                <w:color w:val="333333"/>
                <w:kern w:val="0"/>
                <w:sz w:val="18"/>
                <w:szCs w:val="18"/>
              </w:rPr>
              <w:br/>
              <w:t xml:space="preserve">Calculate and interpret the degree of operating leverage, the degree of financial leverage, and the degree of total leverage. </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lastRenderedPageBreak/>
              <w:drawing>
                <wp:inline distT="0" distB="0" distL="0" distR="0">
                  <wp:extent cx="3733800" cy="1352550"/>
                  <wp:effectExtent l="19050" t="0" r="0" b="0"/>
                  <wp:docPr id="203" name="图片 203" descr="https://nlb4.testrac.com/cfa/graphics/CFL1V1201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nlb4.testrac.com/cfa/graphics/CFL1V1201105.jpg"/>
                          <pic:cNvPicPr>
                            <a:picLocks noChangeAspect="1" noChangeArrowheads="1"/>
                          </pic:cNvPicPr>
                        </pic:nvPicPr>
                        <pic:blipFill>
                          <a:blip r:embed="rId71"/>
                          <a:srcRect/>
                          <a:stretch>
                            <a:fillRect/>
                          </a:stretch>
                        </pic:blipFill>
                        <pic:spPr bwMode="auto">
                          <a:xfrm>
                            <a:off x="0" y="0"/>
                            <a:ext cx="3733800" cy="1352550"/>
                          </a:xfrm>
                          <a:prstGeom prst="rect">
                            <a:avLst/>
                          </a:prstGeom>
                          <a:noFill/>
                          <a:ln w="9525">
                            <a:noFill/>
                            <a:miter lim="800000"/>
                            <a:headEnd/>
                            <a:tailEnd/>
                          </a:ln>
                        </pic:spPr>
                      </pic:pic>
                    </a:graphicData>
                  </a:graphic>
                </wp:inline>
              </w:drawing>
            </w:r>
            <w:r w:rsidRPr="005F5BB6">
              <w:rPr>
                <w:rFonts w:ascii="Segoe UI" w:eastAsia="宋体" w:hAnsi="Segoe UI" w:cs="Segoe UI"/>
                <w:color w:val="333333"/>
                <w:kern w:val="0"/>
                <w:sz w:val="18"/>
                <w:szCs w:val="18"/>
              </w:rPr>
              <w:t>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718"/>
        <w:gridCol w:w="7015"/>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40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xml:space="preserve">A stop-buy order is </w:t>
            </w:r>
            <w:r w:rsidRPr="005F5BB6">
              <w:rPr>
                <w:rFonts w:ascii="Segoe UI" w:eastAsia="宋体" w:hAnsi="Segoe UI" w:cs="Segoe UI"/>
                <w:i/>
                <w:iCs/>
                <w:color w:val="333333"/>
                <w:kern w:val="0"/>
                <w:sz w:val="18"/>
                <w:szCs w:val="18"/>
              </w:rPr>
              <w:t>most likely</w:t>
            </w:r>
            <w:r w:rsidRPr="005F5BB6">
              <w:rPr>
                <w:rFonts w:ascii="Segoe UI" w:eastAsia="宋体" w:hAnsi="Segoe UI" w:cs="Segoe UI"/>
                <w:color w:val="333333"/>
                <w:kern w:val="0"/>
                <w:sz w:val="18"/>
                <w:szCs w:val="18"/>
              </w:rPr>
              <w:t xml:space="preserve"> placed when a trader:</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46" type="#_x0000_t75" style="width:20.25pt;height:15.75pt" o:ole="">
                  <v:imagedata r:id="rId7" o:title=""/>
                </v:shape>
                <w:control r:id="rId72" w:name="DefaultOcxName40" w:shapeid="_x0000_i124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thinks that the stock is overvalued.</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45" type="#_x0000_t75" style="width:20.25pt;height:15.75pt" o:ole="">
                  <v:imagedata r:id="rId9" o:title=""/>
                </v:shape>
                <w:control r:id="rId73" w:name="DefaultOcxName120" w:shapeid="_x0000_i124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wants to limit the loss on a long position.</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44" type="#_x0000_t75" style="width:20.25pt;height:15.75pt" o:ole="">
                  <v:imagedata r:id="rId9" o:title=""/>
                </v:shape>
                <w:control r:id="rId74" w:name="DefaultOcxName220" w:shapeid="_x0000_i12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wants to limit the loss on a short position.</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FF6347"/>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incorrectly.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C</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"Market Organization and Structure," Larry E. Harris</w:t>
            </w:r>
            <w:r w:rsidRPr="005F5BB6">
              <w:rPr>
                <w:rFonts w:ascii="Segoe UI" w:eastAsia="宋体" w:hAnsi="Segoe UI" w:cs="Segoe UI"/>
                <w:color w:val="333333"/>
                <w:kern w:val="0"/>
                <w:sz w:val="18"/>
                <w:szCs w:val="18"/>
              </w:rPr>
              <w:br/>
              <w:t>2011 Modular Level I, Vol. 5, pp. 51–53</w:t>
            </w:r>
            <w:r w:rsidRPr="005F5BB6">
              <w:rPr>
                <w:rFonts w:ascii="Segoe UI" w:eastAsia="宋体" w:hAnsi="Segoe UI" w:cs="Segoe UI"/>
                <w:color w:val="333333"/>
                <w:kern w:val="0"/>
                <w:sz w:val="18"/>
                <w:szCs w:val="18"/>
              </w:rPr>
              <w:br/>
              <w:t>Study Session 13–55–g, h</w:t>
            </w:r>
            <w:r w:rsidRPr="005F5BB6">
              <w:rPr>
                <w:rFonts w:ascii="Segoe UI" w:eastAsia="宋体" w:hAnsi="Segoe UI" w:cs="Segoe UI"/>
                <w:color w:val="333333"/>
                <w:kern w:val="0"/>
                <w:sz w:val="18"/>
                <w:szCs w:val="18"/>
              </w:rPr>
              <w:br/>
              <w:t>Compare and contrast execution, validity, and clearing instructions.</w:t>
            </w:r>
            <w:r w:rsidRPr="005F5BB6">
              <w:rPr>
                <w:rFonts w:ascii="Segoe UI" w:eastAsia="宋体" w:hAnsi="Segoe UI" w:cs="Segoe UI"/>
                <w:color w:val="333333"/>
                <w:kern w:val="0"/>
                <w:sz w:val="18"/>
                <w:szCs w:val="18"/>
              </w:rPr>
              <w:br/>
              <w:t>Compare and contrast market orders with limit orders.</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Investors who have entered into a short sale will incur losses if the stock begins to increase in value. A stop-buy order helps limit the loss on a short position, as it becomes valid when the stock price rises above the specified stop price.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770"/>
        <w:gridCol w:w="6963"/>
        <w:gridCol w:w="96"/>
        <w:gridCol w:w="96"/>
        <w:gridCol w:w="111"/>
      </w:tblGrid>
      <w:tr w:rsidR="005F5BB6" w:rsidRPr="005F5BB6" w:rsidTr="005F5BB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5F5BB6" w:rsidRPr="005F5BB6" w:rsidRDefault="005F5BB6" w:rsidP="005F5BB6">
            <w:pPr>
              <w:widowControl/>
              <w:jc w:val="left"/>
              <w:rPr>
                <w:rFonts w:ascii="Segoe UI" w:eastAsia="宋体" w:hAnsi="Segoe UI" w:cs="Segoe UI"/>
                <w:b/>
                <w:bCs/>
                <w:color w:val="000000"/>
                <w:kern w:val="0"/>
                <w:sz w:val="18"/>
                <w:szCs w:val="18"/>
              </w:rPr>
            </w:pPr>
            <w:r w:rsidRPr="005F5BB6">
              <w:rPr>
                <w:rFonts w:ascii="Segoe UI" w:eastAsia="宋体" w:hAnsi="Segoe UI" w:cs="Segoe UI"/>
                <w:b/>
                <w:bCs/>
                <w:color w:val="000000"/>
                <w:kern w:val="0"/>
                <w:sz w:val="18"/>
                <w:szCs w:val="18"/>
              </w:rPr>
              <w:t>41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xml:space="preserve">The type of voting in board elections that is most beneficial to shareholders with a small number of shares is </w:t>
            </w:r>
            <w:r w:rsidRPr="005F5BB6">
              <w:rPr>
                <w:rFonts w:ascii="Segoe UI" w:eastAsia="宋体" w:hAnsi="Segoe UI" w:cs="Segoe UI"/>
                <w:i/>
                <w:iCs/>
                <w:color w:val="333333"/>
                <w:kern w:val="0"/>
                <w:sz w:val="18"/>
                <w:szCs w:val="18"/>
              </w:rPr>
              <w:t>best</w:t>
            </w:r>
            <w:r w:rsidRPr="005F5BB6">
              <w:rPr>
                <w:rFonts w:ascii="Segoe UI" w:eastAsia="宋体" w:hAnsi="Segoe UI" w:cs="Segoe UI"/>
                <w:color w:val="333333"/>
                <w:kern w:val="0"/>
                <w:sz w:val="18"/>
                <w:szCs w:val="18"/>
              </w:rPr>
              <w:t xml:space="preserve"> described as:</w:t>
            </w: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55" type="#_x0000_t75" style="width:20.25pt;height:15.75pt" o:ole="">
                  <v:imagedata r:id="rId7" o:title=""/>
                </v:shape>
                <w:control r:id="rId75" w:name="DefaultOcxName41" w:shapeid="_x0000_i125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A.</w:t>
            </w:r>
            <w:r w:rsidRPr="005F5BB6">
              <w:rPr>
                <w:rFonts w:ascii="Segoe UI" w:eastAsia="宋体" w:hAnsi="Segoe UI" w:cs="Segoe UI"/>
                <w:color w:val="000000"/>
                <w:kern w:val="0"/>
                <w:sz w:val="18"/>
                <w:szCs w:val="18"/>
              </w:rPr>
              <w:t xml:space="preserve"> statutory voting.</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54" type="#_x0000_t75" style="width:20.25pt;height:15.75pt" o:ole="">
                  <v:imagedata r:id="rId9" o:title=""/>
                </v:shape>
                <w:control r:id="rId76" w:name="DefaultOcxName121" w:shapeid="_x0000_i125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B.</w:t>
            </w:r>
            <w:r w:rsidRPr="005F5BB6">
              <w:rPr>
                <w:rFonts w:ascii="Segoe UI" w:eastAsia="宋体" w:hAnsi="Segoe UI" w:cs="Segoe UI"/>
                <w:color w:val="000000"/>
                <w:kern w:val="0"/>
                <w:sz w:val="18"/>
                <w:szCs w:val="18"/>
              </w:rPr>
              <w:t xml:space="preserve"> voting by proxy.</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5F5BB6" w:rsidRPr="005F5BB6" w:rsidRDefault="005F5BB6" w:rsidP="005F5BB6">
            <w:pPr>
              <w:widowControl/>
              <w:jc w:val="center"/>
              <w:rPr>
                <w:rFonts w:ascii="Segoe UI" w:eastAsia="宋体" w:hAnsi="Segoe UI" w:cs="Segoe UI"/>
                <w:color w:val="000000"/>
                <w:kern w:val="0"/>
                <w:sz w:val="18"/>
                <w:szCs w:val="18"/>
              </w:rPr>
            </w:pPr>
            <w:r w:rsidRPr="005F5BB6">
              <w:rPr>
                <w:rFonts w:ascii="Segoe UI" w:eastAsia="宋体" w:hAnsi="Segoe UI" w:cs="Segoe UI"/>
                <w:color w:val="000000"/>
                <w:kern w:val="0"/>
                <w:sz w:val="18"/>
                <w:szCs w:val="18"/>
              </w:rPr>
              <w:object w:dxaOrig="1440" w:dyaOrig="1440">
                <v:shape id="_x0000_i1253" type="#_x0000_t75" style="width:20.25pt;height:15.75pt" o:ole="">
                  <v:imagedata r:id="rId9" o:title=""/>
                </v:shape>
                <w:control r:id="rId77" w:name="DefaultOcxName221" w:shapeid="_x0000_i12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5F5BB6" w:rsidRPr="005F5BB6" w:rsidRDefault="005F5BB6" w:rsidP="005F5BB6">
            <w:pPr>
              <w:widowControl/>
              <w:jc w:val="left"/>
              <w:rPr>
                <w:rFonts w:ascii="Segoe UI" w:eastAsia="宋体" w:hAnsi="Segoe UI" w:cs="Segoe UI"/>
                <w:color w:val="000000"/>
                <w:kern w:val="0"/>
                <w:sz w:val="18"/>
                <w:szCs w:val="18"/>
              </w:rPr>
            </w:pPr>
            <w:r w:rsidRPr="005F5BB6">
              <w:rPr>
                <w:rFonts w:ascii="Segoe UI" w:eastAsia="宋体" w:hAnsi="Segoe UI" w:cs="Segoe UI"/>
                <w:b/>
                <w:bCs/>
                <w:color w:val="000000"/>
                <w:kern w:val="0"/>
                <w:sz w:val="18"/>
                <w:szCs w:val="18"/>
              </w:rPr>
              <w:t>C.</w:t>
            </w:r>
            <w:r w:rsidRPr="005F5BB6">
              <w:rPr>
                <w:rFonts w:ascii="Segoe UI" w:eastAsia="宋体" w:hAnsi="Segoe UI" w:cs="Segoe UI"/>
                <w:color w:val="000000"/>
                <w:kern w:val="0"/>
                <w:sz w:val="18"/>
                <w:szCs w:val="18"/>
              </w:rPr>
              <w:t xml:space="preserve"> cumulative voting.</w:t>
            </w: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c>
          <w:tcPr>
            <w:tcW w:w="0" w:type="auto"/>
            <w:vAlign w:val="center"/>
            <w:hideMark/>
          </w:tcPr>
          <w:p w:rsidR="005F5BB6" w:rsidRPr="005F5BB6" w:rsidRDefault="005F5BB6" w:rsidP="005F5BB6">
            <w:pPr>
              <w:widowControl/>
              <w:jc w:val="left"/>
              <w:rPr>
                <w:rFonts w:ascii="Times New Roman" w:eastAsia="Times New Roman" w:hAnsi="Times New Roman" w:cs="Times New Roman"/>
                <w:kern w:val="0"/>
                <w:sz w:val="20"/>
                <w:szCs w:val="20"/>
              </w:rPr>
            </w:pPr>
          </w:p>
        </w:tc>
      </w:tr>
      <w:tr w:rsidR="005F5BB6" w:rsidRPr="005F5BB6" w:rsidTr="005F5BB6">
        <w:trPr>
          <w:trHeight w:val="525"/>
          <w:tblCellSpacing w:w="15" w:type="dxa"/>
        </w:trPr>
        <w:tc>
          <w:tcPr>
            <w:tcW w:w="375" w:type="dxa"/>
            <w:noWrap/>
            <w:vAlign w:val="center"/>
            <w:hideMark/>
          </w:tcPr>
          <w:p w:rsidR="005F5BB6" w:rsidRPr="005F5BB6" w:rsidRDefault="005F5BB6" w:rsidP="005F5BB6">
            <w:pPr>
              <w:widowControl/>
              <w:jc w:val="center"/>
              <w:rPr>
                <w:rFonts w:ascii="Segoe UI" w:eastAsia="宋体" w:hAnsi="Segoe UI" w:cs="Segoe UI"/>
                <w:color w:val="333333"/>
                <w:kern w:val="0"/>
                <w:sz w:val="18"/>
                <w:szCs w:val="18"/>
              </w:rPr>
            </w:pPr>
            <w:r w:rsidRPr="005F5BB6">
              <w:rPr>
                <w:rFonts w:ascii="Segoe UI" w:eastAsia="宋体" w:hAnsi="Segoe UI" w:cs="Segoe UI"/>
                <w:color w:val="333333"/>
                <w:kern w:val="0"/>
                <w:sz w:val="18"/>
                <w:szCs w:val="18"/>
              </w:rPr>
              <w:t> </w:t>
            </w:r>
          </w:p>
        </w:tc>
        <w:tc>
          <w:tcPr>
            <w:tcW w:w="0" w:type="auto"/>
            <w:gridSpan w:val="5"/>
            <w:shd w:val="clear" w:color="auto" w:fill="FF6347"/>
            <w:vAlign w:val="center"/>
            <w:hideMark/>
          </w:tcPr>
          <w:p w:rsidR="005F5BB6" w:rsidRPr="005F5BB6" w:rsidRDefault="005F5BB6" w:rsidP="005F5BB6">
            <w:pPr>
              <w:widowControl/>
              <w:jc w:val="left"/>
              <w:rPr>
                <w:rFonts w:ascii="Segoe UI" w:eastAsia="宋体" w:hAnsi="Segoe UI" w:cs="Segoe UI"/>
                <w:color w:val="333333"/>
                <w:kern w:val="0"/>
                <w:sz w:val="18"/>
                <w:szCs w:val="18"/>
              </w:rPr>
            </w:pPr>
            <w:r w:rsidRPr="005F5BB6">
              <w:rPr>
                <w:rFonts w:ascii="Segoe UI" w:eastAsia="宋体" w:hAnsi="Segoe UI" w:cs="Segoe UI"/>
                <w:b/>
                <w:bCs/>
                <w:color w:val="000080"/>
                <w:kern w:val="0"/>
                <w:sz w:val="16"/>
                <w:szCs w:val="16"/>
              </w:rPr>
              <w:t>Feedback:</w:t>
            </w:r>
            <w:r w:rsidRPr="005F5BB6">
              <w:rPr>
                <w:rFonts w:ascii="Segoe UI" w:eastAsia="宋体" w:hAnsi="Segoe UI" w:cs="Segoe UI"/>
                <w:color w:val="333333"/>
                <w:kern w:val="0"/>
                <w:sz w:val="18"/>
                <w:szCs w:val="18"/>
              </w:rPr>
              <w:t xml:space="preserve"> You have answered incorrectly.</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 xml:space="preserve">Correct answer: </w:t>
            </w:r>
            <w:r w:rsidRPr="005F5BB6">
              <w:rPr>
                <w:rFonts w:ascii="Segoe UI" w:eastAsia="宋体" w:hAnsi="Segoe UI" w:cs="Segoe UI"/>
                <w:b/>
                <w:bCs/>
                <w:color w:val="333333"/>
                <w:kern w:val="0"/>
                <w:sz w:val="18"/>
                <w:szCs w:val="18"/>
              </w:rPr>
              <w:t>C</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lastRenderedPageBreak/>
              <w:br/>
              <w:t>"The Corporate Governance of Listed Companies: A Manual for Investors," CFA Institute</w:t>
            </w:r>
            <w:r w:rsidRPr="005F5BB6">
              <w:rPr>
                <w:rFonts w:ascii="Segoe UI" w:eastAsia="宋体" w:hAnsi="Segoe UI" w:cs="Segoe UI"/>
                <w:color w:val="333333"/>
                <w:kern w:val="0"/>
                <w:sz w:val="18"/>
                <w:szCs w:val="18"/>
              </w:rPr>
              <w:br/>
              <w:t>2011 Modular Level I, Vol. 4, pp. 260–261</w:t>
            </w:r>
            <w:r w:rsidRPr="005F5BB6">
              <w:rPr>
                <w:rFonts w:ascii="Segoe UI" w:eastAsia="宋体" w:hAnsi="Segoe UI" w:cs="Segoe UI"/>
                <w:color w:val="333333"/>
                <w:kern w:val="0"/>
                <w:sz w:val="18"/>
                <w:szCs w:val="18"/>
              </w:rPr>
              <w:br/>
              <w:t xml:space="preserve">"Overview of Equity Securities," Ryan C. </w:t>
            </w:r>
            <w:proofErr w:type="spellStart"/>
            <w:r w:rsidRPr="005F5BB6">
              <w:rPr>
                <w:rFonts w:ascii="Segoe UI" w:eastAsia="宋体" w:hAnsi="Segoe UI" w:cs="Segoe UI"/>
                <w:color w:val="333333"/>
                <w:kern w:val="0"/>
                <w:sz w:val="18"/>
                <w:szCs w:val="18"/>
              </w:rPr>
              <w:t>Fuhrmann</w:t>
            </w:r>
            <w:proofErr w:type="spellEnd"/>
            <w:r w:rsidRPr="005F5BB6">
              <w:rPr>
                <w:rFonts w:ascii="Segoe UI" w:eastAsia="宋体" w:hAnsi="Segoe UI" w:cs="Segoe UI"/>
                <w:color w:val="333333"/>
                <w:kern w:val="0"/>
                <w:sz w:val="18"/>
                <w:szCs w:val="18"/>
              </w:rPr>
              <w:t xml:space="preserve">, CFA, and </w:t>
            </w:r>
            <w:proofErr w:type="spellStart"/>
            <w:r w:rsidRPr="005F5BB6">
              <w:rPr>
                <w:rFonts w:ascii="Segoe UI" w:eastAsia="宋体" w:hAnsi="Segoe UI" w:cs="Segoe UI"/>
                <w:color w:val="333333"/>
                <w:kern w:val="0"/>
                <w:sz w:val="18"/>
                <w:szCs w:val="18"/>
              </w:rPr>
              <w:t>Asjeet</w:t>
            </w:r>
            <w:proofErr w:type="spellEnd"/>
            <w:r w:rsidRPr="005F5BB6">
              <w:rPr>
                <w:rFonts w:ascii="Segoe UI" w:eastAsia="宋体" w:hAnsi="Segoe UI" w:cs="Segoe UI"/>
                <w:color w:val="333333"/>
                <w:kern w:val="0"/>
                <w:sz w:val="18"/>
                <w:szCs w:val="18"/>
              </w:rPr>
              <w:t xml:space="preserve"> S. </w:t>
            </w:r>
            <w:proofErr w:type="spellStart"/>
            <w:r w:rsidRPr="005F5BB6">
              <w:rPr>
                <w:rFonts w:ascii="Segoe UI" w:eastAsia="宋体" w:hAnsi="Segoe UI" w:cs="Segoe UI"/>
                <w:color w:val="333333"/>
                <w:kern w:val="0"/>
                <w:sz w:val="18"/>
                <w:szCs w:val="18"/>
              </w:rPr>
              <w:t>Lamba</w:t>
            </w:r>
            <w:proofErr w:type="spellEnd"/>
            <w:r w:rsidRPr="005F5BB6">
              <w:rPr>
                <w:rFonts w:ascii="Segoe UI" w:eastAsia="宋体" w:hAnsi="Segoe UI" w:cs="Segoe UI"/>
                <w:color w:val="333333"/>
                <w:kern w:val="0"/>
                <w:sz w:val="18"/>
                <w:szCs w:val="18"/>
              </w:rPr>
              <w:t>, CFA</w:t>
            </w:r>
            <w:r w:rsidRPr="005F5BB6">
              <w:rPr>
                <w:rFonts w:ascii="Segoe UI" w:eastAsia="宋体" w:hAnsi="Segoe UI" w:cs="Segoe UI"/>
                <w:color w:val="333333"/>
                <w:kern w:val="0"/>
                <w:sz w:val="18"/>
                <w:szCs w:val="18"/>
              </w:rPr>
              <w:br/>
              <w:t>2011 Modular Level I, Vol. 5, p. 171</w:t>
            </w:r>
            <w:r w:rsidRPr="005F5BB6">
              <w:rPr>
                <w:rFonts w:ascii="Segoe UI" w:eastAsia="宋体" w:hAnsi="Segoe UI" w:cs="Segoe UI"/>
                <w:color w:val="333333"/>
                <w:kern w:val="0"/>
                <w:sz w:val="18"/>
                <w:szCs w:val="18"/>
              </w:rPr>
              <w:br/>
              <w:t>Study Session 11–50–g, 14–58–d</w:t>
            </w:r>
            <w:r w:rsidRPr="005F5BB6">
              <w:rPr>
                <w:rFonts w:ascii="Segoe UI" w:eastAsia="宋体" w:hAnsi="Segoe UI" w:cs="Segoe UI"/>
                <w:color w:val="333333"/>
                <w:kern w:val="0"/>
                <w:sz w:val="18"/>
                <w:szCs w:val="18"/>
              </w:rPr>
              <w:br/>
              <w:t>Evaluate, from a shareowner's perspective, company policies related to voting rules, shareowner sponsored proposals, common stock classes, and takeover defenses.</w:t>
            </w:r>
            <w:r w:rsidRPr="005F5BB6">
              <w:rPr>
                <w:rFonts w:ascii="Segoe UI" w:eastAsia="宋体" w:hAnsi="Segoe UI" w:cs="Segoe UI"/>
                <w:color w:val="333333"/>
                <w:kern w:val="0"/>
                <w:sz w:val="18"/>
                <w:szCs w:val="18"/>
              </w:rPr>
              <w:br/>
              <w:t>Discuss the differences in voting rights and other ownership characteristics among various equity classes.</w:t>
            </w:r>
            <w:r w:rsidRPr="005F5BB6">
              <w:rPr>
                <w:rFonts w:ascii="Segoe UI" w:eastAsia="宋体" w:hAnsi="Segoe UI" w:cs="Segoe UI"/>
                <w:color w:val="333333"/>
                <w:kern w:val="0"/>
                <w:sz w:val="18"/>
                <w:szCs w:val="18"/>
              </w:rPr>
              <w:br/>
            </w:r>
            <w:r w:rsidRPr="005F5BB6">
              <w:rPr>
                <w:rFonts w:ascii="Segoe UI" w:eastAsia="宋体" w:hAnsi="Segoe UI" w:cs="Segoe UI"/>
                <w:color w:val="333333"/>
                <w:kern w:val="0"/>
                <w:sz w:val="18"/>
                <w:szCs w:val="18"/>
              </w:rPr>
              <w:br/>
              <w:t>Cumulative voting allows shareholders to direct their total voting rights to specific candidates, as opposed to having to allocate their voting rights evenly among all candidates. Thus, applying all of the votes to one candidate provides the opportunity for a higher level of representation on the board than would be allowed under statutory voting.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510"/>
        <w:gridCol w:w="7223"/>
        <w:gridCol w:w="96"/>
        <w:gridCol w:w="96"/>
        <w:gridCol w:w="111"/>
      </w:tblGrid>
      <w:tr w:rsidR="001B0E88" w:rsidRPr="001B0E88" w:rsidTr="001B0E8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B0E88" w:rsidRPr="001B0E88" w:rsidRDefault="001B0E88" w:rsidP="001B0E88">
            <w:pPr>
              <w:widowControl/>
              <w:jc w:val="left"/>
              <w:rPr>
                <w:rFonts w:ascii="Segoe UI" w:eastAsia="宋体" w:hAnsi="Segoe UI" w:cs="Segoe UI"/>
                <w:b/>
                <w:bCs/>
                <w:color w:val="000000"/>
                <w:kern w:val="0"/>
                <w:sz w:val="18"/>
                <w:szCs w:val="18"/>
              </w:rPr>
            </w:pPr>
            <w:r w:rsidRPr="001B0E88">
              <w:rPr>
                <w:rFonts w:ascii="Segoe UI" w:eastAsia="宋体" w:hAnsi="Segoe UI" w:cs="Segoe UI"/>
                <w:b/>
                <w:bCs/>
                <w:color w:val="000000"/>
                <w:kern w:val="0"/>
                <w:sz w:val="18"/>
                <w:szCs w:val="18"/>
              </w:rPr>
              <w:t>42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An investor gathered the following data in order to estimate the value of the company’s preferred stock:</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23"/>
              <w:gridCol w:w="1462"/>
            </w:tblGrid>
            <w:tr w:rsidR="001B0E88" w:rsidRPr="001B0E88">
              <w:trPr>
                <w:tblCellSpacing w:w="15" w:type="dxa"/>
              </w:trPr>
              <w:tc>
                <w:tcPr>
                  <w:tcW w:w="55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Par value of preferred stock offered at a 6% dividend rate</w:t>
                  </w:r>
                </w:p>
              </w:tc>
              <w:tc>
                <w:tcPr>
                  <w:tcW w:w="12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$100</w:t>
                  </w:r>
                </w:p>
              </w:tc>
            </w:tr>
            <w:tr w:rsidR="001B0E88" w:rsidRPr="001B0E88">
              <w:trPr>
                <w:tblCellSpacing w:w="15" w:type="dxa"/>
              </w:trPr>
              <w:tc>
                <w:tcPr>
                  <w:tcW w:w="55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Company's sustainable growth rate</w:t>
                  </w:r>
                </w:p>
              </w:tc>
              <w:tc>
                <w:tcPr>
                  <w:tcW w:w="12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5%</w:t>
                  </w:r>
                </w:p>
              </w:tc>
            </w:tr>
            <w:tr w:rsidR="001B0E88" w:rsidRPr="001B0E88">
              <w:trPr>
                <w:tblCellSpacing w:w="15" w:type="dxa"/>
              </w:trPr>
              <w:tc>
                <w:tcPr>
                  <w:tcW w:w="55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Yield on comparable preferred stock issues</w:t>
                  </w:r>
                </w:p>
              </w:tc>
              <w:tc>
                <w:tcPr>
                  <w:tcW w:w="12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11.5%</w:t>
                  </w:r>
                </w:p>
              </w:tc>
            </w:tr>
            <w:tr w:rsidR="001B0E88" w:rsidRPr="001B0E88">
              <w:trPr>
                <w:tblCellSpacing w:w="15" w:type="dxa"/>
              </w:trPr>
              <w:tc>
                <w:tcPr>
                  <w:tcW w:w="55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Investor's marginal tax rate</w:t>
                  </w:r>
                </w:p>
              </w:tc>
              <w:tc>
                <w:tcPr>
                  <w:tcW w:w="12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30%</w:t>
                  </w:r>
                </w:p>
              </w:tc>
            </w:tr>
          </w:tbl>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br/>
              <w:t xml:space="preserve">The value of the company’s preferred stock is </w:t>
            </w:r>
            <w:r w:rsidRPr="001B0E88">
              <w:rPr>
                <w:rFonts w:ascii="Segoe UI" w:eastAsia="宋体" w:hAnsi="Segoe UI" w:cs="Segoe UI"/>
                <w:i/>
                <w:iCs/>
                <w:color w:val="333333"/>
                <w:kern w:val="0"/>
                <w:sz w:val="18"/>
                <w:szCs w:val="18"/>
              </w:rPr>
              <w:t>closest</w:t>
            </w:r>
            <w:r w:rsidRPr="001B0E88">
              <w:rPr>
                <w:rFonts w:ascii="Segoe UI" w:eastAsia="宋体" w:hAnsi="Segoe UI" w:cs="Segoe UI"/>
                <w:color w:val="333333"/>
                <w:kern w:val="0"/>
                <w:sz w:val="18"/>
                <w:szCs w:val="18"/>
              </w:rPr>
              <w:t xml:space="preserve"> to:</w:t>
            </w: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64" type="#_x0000_t75" style="width:20.25pt;height:15.75pt" o:ole="">
                  <v:imagedata r:id="rId7" o:title=""/>
                </v:shape>
                <w:control r:id="rId78" w:name="DefaultOcxName42" w:shapeid="_x0000_i126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A.</w:t>
            </w:r>
            <w:r w:rsidRPr="001B0E88">
              <w:rPr>
                <w:rFonts w:ascii="Segoe UI" w:eastAsia="宋体" w:hAnsi="Segoe UI" w:cs="Segoe UI"/>
                <w:color w:val="000000"/>
                <w:kern w:val="0"/>
                <w:sz w:val="18"/>
                <w:szCs w:val="18"/>
              </w:rPr>
              <w:t xml:space="preserve"> $52.17.</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63" type="#_x0000_t75" style="width:20.25pt;height:15.75pt" o:ole="">
                  <v:imagedata r:id="rId9" o:title=""/>
                </v:shape>
                <w:control r:id="rId79" w:name="DefaultOcxName122" w:shapeid="_x0000_i12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B.</w:t>
            </w:r>
            <w:r w:rsidRPr="001B0E88">
              <w:rPr>
                <w:rFonts w:ascii="Segoe UI" w:eastAsia="宋体" w:hAnsi="Segoe UI" w:cs="Segoe UI"/>
                <w:color w:val="000000"/>
                <w:kern w:val="0"/>
                <w:sz w:val="18"/>
                <w:szCs w:val="18"/>
              </w:rPr>
              <w:t xml:space="preserve"> $74.53.</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62" type="#_x0000_t75" style="width:20.25pt;height:15.75pt" o:ole="">
                  <v:imagedata r:id="rId9" o:title=""/>
                </v:shape>
                <w:control r:id="rId80" w:name="DefaultOcxName222" w:shapeid="_x0000_i12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C.</w:t>
            </w:r>
            <w:r w:rsidRPr="001B0E88">
              <w:rPr>
                <w:rFonts w:ascii="Segoe UI" w:eastAsia="宋体" w:hAnsi="Segoe UI" w:cs="Segoe UI"/>
                <w:color w:val="000000"/>
                <w:kern w:val="0"/>
                <w:sz w:val="18"/>
                <w:szCs w:val="18"/>
              </w:rPr>
              <w:t xml:space="preserve"> $96.92.</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noWrap/>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0" w:type="auto"/>
            <w:gridSpan w:val="5"/>
            <w:shd w:val="clear" w:color="auto" w:fill="9ACD32"/>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b/>
                <w:bCs/>
                <w:color w:val="000080"/>
                <w:kern w:val="0"/>
                <w:sz w:val="16"/>
                <w:szCs w:val="16"/>
              </w:rPr>
              <w:t>Feedback:</w:t>
            </w:r>
            <w:r w:rsidRPr="001B0E88">
              <w:rPr>
                <w:rFonts w:ascii="Segoe UI" w:eastAsia="宋体" w:hAnsi="Segoe UI" w:cs="Segoe UI"/>
                <w:color w:val="333333"/>
                <w:kern w:val="0"/>
                <w:sz w:val="18"/>
                <w:szCs w:val="18"/>
              </w:rPr>
              <w:t xml:space="preserve"> You have answered correctly.</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Correct answer: </w:t>
            </w:r>
            <w:r w:rsidRPr="001B0E88">
              <w:rPr>
                <w:rFonts w:ascii="Segoe UI" w:eastAsia="宋体" w:hAnsi="Segoe UI" w:cs="Segoe UI"/>
                <w:b/>
                <w:bCs/>
                <w:color w:val="333333"/>
                <w:kern w:val="0"/>
                <w:sz w:val="18"/>
                <w:szCs w:val="18"/>
              </w:rPr>
              <w:t>A</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"Equity Valuation: Concepts and Basic Tools," John J. </w:t>
            </w:r>
            <w:proofErr w:type="spellStart"/>
            <w:r w:rsidRPr="001B0E88">
              <w:rPr>
                <w:rFonts w:ascii="Segoe UI" w:eastAsia="宋体" w:hAnsi="Segoe UI" w:cs="Segoe UI"/>
                <w:color w:val="333333"/>
                <w:kern w:val="0"/>
                <w:sz w:val="18"/>
                <w:szCs w:val="18"/>
              </w:rPr>
              <w:t>Nagorniak</w:t>
            </w:r>
            <w:proofErr w:type="spellEnd"/>
            <w:r w:rsidRPr="001B0E88">
              <w:rPr>
                <w:rFonts w:ascii="Segoe UI" w:eastAsia="宋体" w:hAnsi="Segoe UI" w:cs="Segoe UI"/>
                <w:color w:val="333333"/>
                <w:kern w:val="0"/>
                <w:sz w:val="18"/>
                <w:szCs w:val="18"/>
              </w:rPr>
              <w:t>, CFA, and Stephen E. Wilcox, CFA</w:t>
            </w:r>
            <w:r w:rsidRPr="001B0E88">
              <w:rPr>
                <w:rFonts w:ascii="Segoe UI" w:eastAsia="宋体" w:hAnsi="Segoe UI" w:cs="Segoe UI"/>
                <w:color w:val="333333"/>
                <w:kern w:val="0"/>
                <w:sz w:val="18"/>
                <w:szCs w:val="18"/>
              </w:rPr>
              <w:br/>
              <w:t>2011 Modular Level I, Vol. 5, pp. 276–277</w:t>
            </w:r>
            <w:r w:rsidRPr="001B0E88">
              <w:rPr>
                <w:rFonts w:ascii="Segoe UI" w:eastAsia="宋体" w:hAnsi="Segoe UI" w:cs="Segoe UI"/>
                <w:color w:val="333333"/>
                <w:kern w:val="0"/>
                <w:sz w:val="18"/>
                <w:szCs w:val="18"/>
              </w:rPr>
              <w:br/>
              <w:t>Study Session 14–60–d</w:t>
            </w:r>
            <w:r w:rsidRPr="001B0E88">
              <w:rPr>
                <w:rFonts w:ascii="Segoe UI" w:eastAsia="宋体" w:hAnsi="Segoe UI" w:cs="Segoe UI"/>
                <w:color w:val="333333"/>
                <w:kern w:val="0"/>
                <w:sz w:val="18"/>
                <w:szCs w:val="18"/>
              </w:rPr>
              <w:br/>
              <w:t>Calculate the intrinsic value of a non-callable, non-convertible preferred stock.</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lastRenderedPageBreak/>
              <w:t>V</w:t>
            </w:r>
            <w:r w:rsidRPr="001B0E88">
              <w:rPr>
                <w:rFonts w:ascii="Segoe UI" w:eastAsia="宋体" w:hAnsi="Segoe UI" w:cs="Segoe UI"/>
                <w:color w:val="333333"/>
                <w:kern w:val="0"/>
                <w:sz w:val="18"/>
                <w:szCs w:val="18"/>
                <w:vertAlign w:val="subscript"/>
              </w:rPr>
              <w:t>0</w:t>
            </w:r>
            <w:r w:rsidRPr="001B0E88">
              <w:rPr>
                <w:rFonts w:ascii="Segoe UI" w:eastAsia="宋体" w:hAnsi="Segoe UI" w:cs="Segoe UI"/>
                <w:color w:val="333333"/>
                <w:kern w:val="0"/>
                <w:sz w:val="18"/>
                <w:szCs w:val="18"/>
              </w:rPr>
              <w:t xml:space="preserve"> = D</w:t>
            </w:r>
            <w:r w:rsidRPr="001B0E88">
              <w:rPr>
                <w:rFonts w:ascii="Segoe UI" w:eastAsia="宋体" w:hAnsi="Segoe UI" w:cs="Segoe UI"/>
                <w:color w:val="333333"/>
                <w:kern w:val="0"/>
                <w:sz w:val="18"/>
                <w:szCs w:val="18"/>
                <w:vertAlign w:val="subscript"/>
              </w:rPr>
              <w:t>0</w:t>
            </w:r>
            <w:r w:rsidRPr="001B0E88">
              <w:rPr>
                <w:rFonts w:ascii="Segoe UI" w:eastAsia="宋体" w:hAnsi="Segoe UI" w:cs="Segoe UI"/>
                <w:color w:val="333333"/>
                <w:kern w:val="0"/>
                <w:sz w:val="18"/>
                <w:szCs w:val="18"/>
              </w:rPr>
              <w:t xml:space="preserve"> / r = ($100 × 0.06) / 0.115 = $52.17 </w:t>
            </w:r>
          </w:p>
        </w:tc>
      </w:tr>
    </w:tbl>
    <w:p w:rsidR="005F5BB6" w:rsidRDefault="005F5BB6">
      <w:pPr>
        <w:rPr>
          <w:rFonts w:hint="eastAsia"/>
        </w:rPr>
      </w:pPr>
    </w:p>
    <w:tbl>
      <w:tblPr>
        <w:tblW w:w="5000" w:type="pct"/>
        <w:tblCellSpacing w:w="15" w:type="dxa"/>
        <w:tblCellMar>
          <w:top w:w="30" w:type="dxa"/>
          <w:left w:w="30" w:type="dxa"/>
          <w:bottom w:w="30" w:type="dxa"/>
          <w:right w:w="30" w:type="dxa"/>
        </w:tblCellMar>
        <w:tblLook w:val="04A0"/>
      </w:tblPr>
      <w:tblGrid>
        <w:gridCol w:w="420"/>
        <w:gridCol w:w="670"/>
        <w:gridCol w:w="7063"/>
        <w:gridCol w:w="96"/>
        <w:gridCol w:w="96"/>
        <w:gridCol w:w="111"/>
      </w:tblGrid>
      <w:tr w:rsidR="001B0E88" w:rsidRPr="001B0E88" w:rsidTr="001B0E8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B0E88" w:rsidRPr="001B0E88" w:rsidRDefault="001B0E88" w:rsidP="001B0E88">
            <w:pPr>
              <w:widowControl/>
              <w:jc w:val="left"/>
              <w:rPr>
                <w:rFonts w:ascii="Segoe UI" w:eastAsia="宋体" w:hAnsi="Segoe UI" w:cs="Segoe UI"/>
                <w:b/>
                <w:bCs/>
                <w:color w:val="000000"/>
                <w:kern w:val="0"/>
                <w:sz w:val="18"/>
                <w:szCs w:val="18"/>
              </w:rPr>
            </w:pPr>
            <w:r w:rsidRPr="001B0E88">
              <w:rPr>
                <w:rFonts w:ascii="Segoe UI" w:eastAsia="宋体" w:hAnsi="Segoe UI" w:cs="Segoe UI"/>
                <w:b/>
                <w:bCs/>
                <w:color w:val="000000"/>
                <w:kern w:val="0"/>
                <w:sz w:val="18"/>
                <w:szCs w:val="18"/>
              </w:rPr>
              <w:t>43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xml:space="preserve">An investor uses the data below and the constant growth model to evaluate a company’s common stock. To estimate growth, she uses the average value of the: </w:t>
            </w:r>
          </w:p>
          <w:p w:rsidR="001B0E88" w:rsidRPr="001B0E88" w:rsidRDefault="001B0E88" w:rsidP="001B0E88">
            <w:pPr>
              <w:widowControl/>
              <w:numPr>
                <w:ilvl w:val="0"/>
                <w:numId w:val="2"/>
              </w:numPr>
              <w:spacing w:before="100" w:beforeAutospacing="1" w:after="100" w:afterAutospacing="1"/>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xml:space="preserve">dividend growth rate over the period 2004–2009 and </w:t>
            </w:r>
          </w:p>
          <w:p w:rsidR="001B0E88" w:rsidRPr="001B0E88" w:rsidRDefault="001B0E88" w:rsidP="001B0E88">
            <w:pPr>
              <w:widowControl/>
              <w:numPr>
                <w:ilvl w:val="0"/>
                <w:numId w:val="2"/>
              </w:numPr>
              <w:spacing w:before="100" w:beforeAutospacing="1" w:after="100" w:afterAutospacing="1"/>
              <w:jc w:val="left"/>
              <w:rPr>
                <w:rFonts w:ascii="Segoe UI" w:eastAsia="宋体" w:hAnsi="Segoe UI" w:cs="Segoe UI"/>
                <w:color w:val="333333"/>
                <w:kern w:val="0"/>
                <w:sz w:val="18"/>
                <w:szCs w:val="18"/>
              </w:rPr>
            </w:pPr>
            <w:proofErr w:type="gramStart"/>
            <w:r w:rsidRPr="001B0E88">
              <w:rPr>
                <w:rFonts w:ascii="Segoe UI" w:eastAsia="宋体" w:hAnsi="Segoe UI" w:cs="Segoe UI"/>
                <w:color w:val="333333"/>
                <w:kern w:val="0"/>
                <w:sz w:val="18"/>
                <w:szCs w:val="18"/>
              </w:rPr>
              <w:t>sustainable</w:t>
            </w:r>
            <w:proofErr w:type="gramEnd"/>
            <w:r w:rsidRPr="001B0E88">
              <w:rPr>
                <w:rFonts w:ascii="Segoe UI" w:eastAsia="宋体" w:hAnsi="Segoe UI" w:cs="Segoe UI"/>
                <w:color w:val="333333"/>
                <w:kern w:val="0"/>
                <w:sz w:val="18"/>
                <w:szCs w:val="18"/>
              </w:rPr>
              <w:t xml:space="preserve"> growth rate for the year 2009. </w:t>
            </w:r>
            <w:r w:rsidRPr="001B0E88">
              <w:rPr>
                <w:rFonts w:ascii="Segoe UI" w:eastAsia="宋体" w:hAnsi="Segoe UI" w:cs="Segoe UI"/>
                <w:color w:val="333333"/>
                <w:kern w:val="0"/>
                <w:sz w:val="18"/>
                <w:szCs w:val="18"/>
              </w:rPr>
              <w:br/>
              <w:t xml:space="preserve">  </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50"/>
              <w:gridCol w:w="1992"/>
              <w:gridCol w:w="1935"/>
              <w:gridCol w:w="1808"/>
            </w:tblGrid>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b/>
                      <w:bCs/>
                      <w:color w:val="333333"/>
                      <w:kern w:val="0"/>
                      <w:sz w:val="18"/>
                      <w:szCs w:val="18"/>
                    </w:rPr>
                    <w:t>Year</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b/>
                      <w:bCs/>
                      <w:color w:val="333333"/>
                      <w:kern w:val="0"/>
                      <w:sz w:val="18"/>
                      <w:szCs w:val="18"/>
                    </w:rPr>
                    <w:t>EPS</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b/>
                      <w:bCs/>
                      <w:color w:val="333333"/>
                      <w:kern w:val="0"/>
                      <w:sz w:val="18"/>
                      <w:szCs w:val="18"/>
                    </w:rPr>
                    <w:t>DPS</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b/>
                      <w:bCs/>
                      <w:color w:val="333333"/>
                      <w:kern w:val="0"/>
                      <w:sz w:val="18"/>
                      <w:szCs w:val="18"/>
                    </w:rPr>
                    <w:t>ROE</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2009</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$3.20</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$1.92</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12%</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2008</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$3.60</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$1.85</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17%</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2007</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$2.44</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$1.74</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13%</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2006</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$2.08</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$1.62</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15%</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2005</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$2.76</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$1.35</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11%</w:t>
                  </w:r>
                </w:p>
              </w:tc>
            </w:tr>
            <w:tr w:rsidR="001B0E88" w:rsidRPr="001B0E88">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2004</w:t>
                  </w:r>
                </w:p>
              </w:tc>
              <w:tc>
                <w:tcPr>
                  <w:tcW w:w="1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$2.25</w:t>
                  </w:r>
                </w:p>
              </w:tc>
              <w:tc>
                <w:tcPr>
                  <w:tcW w:w="100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$1.25</w:t>
                  </w:r>
                </w:p>
              </w:tc>
              <w:tc>
                <w:tcPr>
                  <w:tcW w:w="930"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9%</w:t>
                  </w:r>
                </w:p>
              </w:tc>
            </w:tr>
          </w:tbl>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br/>
              <w:t xml:space="preserve">If her required return is 15 percent, the stock’s estimated value is </w:t>
            </w:r>
            <w:r w:rsidRPr="001B0E88">
              <w:rPr>
                <w:rFonts w:ascii="Segoe UI" w:eastAsia="宋体" w:hAnsi="Segoe UI" w:cs="Segoe UI"/>
                <w:i/>
                <w:iCs/>
                <w:color w:val="333333"/>
                <w:kern w:val="0"/>
                <w:sz w:val="18"/>
                <w:szCs w:val="18"/>
              </w:rPr>
              <w:t>closest</w:t>
            </w:r>
            <w:r w:rsidRPr="001B0E88">
              <w:rPr>
                <w:rFonts w:ascii="Segoe UI" w:eastAsia="宋体" w:hAnsi="Segoe UI" w:cs="Segoe UI"/>
                <w:color w:val="333333"/>
                <w:kern w:val="0"/>
                <w:sz w:val="18"/>
                <w:szCs w:val="18"/>
              </w:rPr>
              <w:t xml:space="preserve"> to:</w:t>
            </w: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73" type="#_x0000_t75" style="width:20.25pt;height:15.75pt" o:ole="">
                  <v:imagedata r:id="rId7" o:title=""/>
                </v:shape>
                <w:control r:id="rId81" w:name="DefaultOcxName43" w:shapeid="_x0000_i127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A.</w:t>
            </w:r>
            <w:r w:rsidRPr="001B0E88">
              <w:rPr>
                <w:rFonts w:ascii="Segoe UI" w:eastAsia="宋体" w:hAnsi="Segoe UI" w:cs="Segoe UI"/>
                <w:color w:val="000000"/>
                <w:kern w:val="0"/>
                <w:sz w:val="18"/>
                <w:szCs w:val="18"/>
              </w:rPr>
              <w:t xml:space="preserve"> $23.71.</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72" type="#_x0000_t75" style="width:20.25pt;height:15.75pt" o:ole="">
                  <v:imagedata r:id="rId9" o:title=""/>
                </v:shape>
                <w:control r:id="rId82" w:name="DefaultOcxName123" w:shapeid="_x0000_i12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B.</w:t>
            </w:r>
            <w:r w:rsidRPr="001B0E88">
              <w:rPr>
                <w:rFonts w:ascii="Segoe UI" w:eastAsia="宋体" w:hAnsi="Segoe UI" w:cs="Segoe UI"/>
                <w:color w:val="000000"/>
                <w:kern w:val="0"/>
                <w:sz w:val="18"/>
                <w:szCs w:val="18"/>
              </w:rPr>
              <w:t xml:space="preserve"> $25.31.</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71" type="#_x0000_t75" style="width:20.25pt;height:15.75pt" o:ole="">
                  <v:imagedata r:id="rId9" o:title=""/>
                </v:shape>
                <w:control r:id="rId83" w:name="DefaultOcxName223" w:shapeid="_x0000_i12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C.</w:t>
            </w:r>
            <w:r w:rsidRPr="001B0E88">
              <w:rPr>
                <w:rFonts w:ascii="Segoe UI" w:eastAsia="宋体" w:hAnsi="Segoe UI" w:cs="Segoe UI"/>
                <w:color w:val="000000"/>
                <w:kern w:val="0"/>
                <w:sz w:val="18"/>
                <w:szCs w:val="18"/>
              </w:rPr>
              <w:t xml:space="preserve"> $30.14.</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noWrap/>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0" w:type="auto"/>
            <w:gridSpan w:val="5"/>
            <w:shd w:val="clear" w:color="auto" w:fill="9ACD32"/>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b/>
                <w:bCs/>
                <w:color w:val="000080"/>
                <w:kern w:val="0"/>
                <w:sz w:val="16"/>
                <w:szCs w:val="16"/>
              </w:rPr>
              <w:t>Feedback:</w:t>
            </w:r>
            <w:r w:rsidRPr="001B0E88">
              <w:rPr>
                <w:rFonts w:ascii="Segoe UI" w:eastAsia="宋体" w:hAnsi="Segoe UI" w:cs="Segoe UI"/>
                <w:color w:val="333333"/>
                <w:kern w:val="0"/>
                <w:sz w:val="18"/>
                <w:szCs w:val="18"/>
              </w:rPr>
              <w:t xml:space="preserve"> You have answered correctly.</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Correct answer: </w:t>
            </w:r>
            <w:r w:rsidRPr="001B0E88">
              <w:rPr>
                <w:rFonts w:ascii="Segoe UI" w:eastAsia="宋体" w:hAnsi="Segoe UI" w:cs="Segoe UI"/>
                <w:b/>
                <w:bCs/>
                <w:color w:val="333333"/>
                <w:kern w:val="0"/>
                <w:sz w:val="18"/>
                <w:szCs w:val="18"/>
              </w:rPr>
              <w:t>A</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"Equity Valuation: Concepts and Basic Tools," John J. </w:t>
            </w:r>
            <w:proofErr w:type="spellStart"/>
            <w:r w:rsidRPr="001B0E88">
              <w:rPr>
                <w:rFonts w:ascii="Segoe UI" w:eastAsia="宋体" w:hAnsi="Segoe UI" w:cs="Segoe UI"/>
                <w:color w:val="333333"/>
                <w:kern w:val="0"/>
                <w:sz w:val="18"/>
                <w:szCs w:val="18"/>
              </w:rPr>
              <w:t>Nagorniak</w:t>
            </w:r>
            <w:proofErr w:type="spellEnd"/>
            <w:r w:rsidRPr="001B0E88">
              <w:rPr>
                <w:rFonts w:ascii="Segoe UI" w:eastAsia="宋体" w:hAnsi="Segoe UI" w:cs="Segoe UI"/>
                <w:color w:val="333333"/>
                <w:kern w:val="0"/>
                <w:sz w:val="18"/>
                <w:szCs w:val="18"/>
              </w:rPr>
              <w:t>, CFA, and Stephen E. Wilcox, CFA</w:t>
            </w:r>
            <w:r w:rsidRPr="001B0E88">
              <w:rPr>
                <w:rFonts w:ascii="Segoe UI" w:eastAsia="宋体" w:hAnsi="Segoe UI" w:cs="Segoe UI"/>
                <w:color w:val="333333"/>
                <w:kern w:val="0"/>
                <w:sz w:val="18"/>
                <w:szCs w:val="18"/>
              </w:rPr>
              <w:br/>
              <w:t>2011 Modular Level I, Vol. 5, pp. 279–281</w:t>
            </w:r>
            <w:r w:rsidRPr="001B0E88">
              <w:rPr>
                <w:rFonts w:ascii="Segoe UI" w:eastAsia="宋体" w:hAnsi="Segoe UI" w:cs="Segoe UI"/>
                <w:color w:val="333333"/>
                <w:kern w:val="0"/>
                <w:sz w:val="18"/>
                <w:szCs w:val="18"/>
              </w:rPr>
              <w:br/>
              <w:t>Study Session 14–60–e</w:t>
            </w:r>
            <w:r w:rsidRPr="001B0E88">
              <w:rPr>
                <w:rFonts w:ascii="Segoe UI" w:eastAsia="宋体" w:hAnsi="Segoe UI" w:cs="Segoe UI"/>
                <w:color w:val="333333"/>
                <w:kern w:val="0"/>
                <w:sz w:val="18"/>
                <w:szCs w:val="18"/>
              </w:rPr>
              <w:br/>
              <w:t>Calculate and interpret the intrinsic value of an equity security based on the Gordon (constant) growth dividend discount model or a two-stage dividend discount model, as appropriate.</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Dividend growth rate over the period 2004–2009 = 1.25 × (1 + </w:t>
            </w:r>
            <w:r w:rsidRPr="001B0E88">
              <w:rPr>
                <w:rFonts w:ascii="Segoe UI" w:eastAsia="宋体" w:hAnsi="Segoe UI" w:cs="Segoe UI"/>
                <w:i/>
                <w:iCs/>
                <w:color w:val="333333"/>
                <w:kern w:val="0"/>
                <w:sz w:val="18"/>
                <w:szCs w:val="18"/>
              </w:rPr>
              <w:t>g</w:t>
            </w:r>
            <w:r w:rsidRPr="001B0E88">
              <w:rPr>
                <w:rFonts w:ascii="Segoe UI" w:eastAsia="宋体" w:hAnsi="Segoe UI" w:cs="Segoe UI"/>
                <w:color w:val="333333"/>
                <w:kern w:val="0"/>
                <w:sz w:val="18"/>
                <w:szCs w:val="18"/>
              </w:rPr>
              <w:t>)</w:t>
            </w:r>
            <w:r w:rsidRPr="001B0E88">
              <w:rPr>
                <w:rFonts w:ascii="Segoe UI" w:eastAsia="宋体" w:hAnsi="Segoe UI" w:cs="Segoe UI"/>
                <w:color w:val="333333"/>
                <w:kern w:val="0"/>
                <w:sz w:val="18"/>
                <w:szCs w:val="18"/>
                <w:vertAlign w:val="superscript"/>
              </w:rPr>
              <w:t>5</w:t>
            </w:r>
            <w:r w:rsidRPr="001B0E88">
              <w:rPr>
                <w:rFonts w:ascii="Segoe UI" w:eastAsia="宋体" w:hAnsi="Segoe UI" w:cs="Segoe UI"/>
                <w:color w:val="333333"/>
                <w:kern w:val="0"/>
                <w:sz w:val="18"/>
                <w:szCs w:val="18"/>
              </w:rPr>
              <w:t xml:space="preserve"> = 1.92; </w:t>
            </w:r>
            <w:r w:rsidRPr="001B0E88">
              <w:rPr>
                <w:rFonts w:ascii="Segoe UI" w:eastAsia="宋体" w:hAnsi="Segoe UI" w:cs="Segoe UI"/>
                <w:i/>
                <w:iCs/>
                <w:color w:val="333333"/>
                <w:kern w:val="0"/>
                <w:sz w:val="18"/>
                <w:szCs w:val="18"/>
              </w:rPr>
              <w:t>g</w:t>
            </w:r>
            <w:r w:rsidRPr="001B0E88">
              <w:rPr>
                <w:rFonts w:ascii="Segoe UI" w:eastAsia="宋体" w:hAnsi="Segoe UI" w:cs="Segoe UI"/>
                <w:color w:val="333333"/>
                <w:kern w:val="0"/>
                <w:sz w:val="18"/>
                <w:szCs w:val="18"/>
              </w:rPr>
              <w:t xml:space="preserve"> = 8.96% </w:t>
            </w:r>
            <w:r w:rsidRPr="001B0E88">
              <w:rPr>
                <w:rFonts w:ascii="Cambria Math" w:eastAsia="宋体" w:hAnsi="Cambria Math" w:cs="Cambria Math"/>
                <w:color w:val="333333"/>
                <w:kern w:val="0"/>
                <w:sz w:val="18"/>
                <w:szCs w:val="18"/>
              </w:rPr>
              <w:t>≅</w:t>
            </w:r>
            <w:r w:rsidRPr="001B0E88">
              <w:rPr>
                <w:rFonts w:ascii="Segoe UI" w:eastAsia="宋体" w:hAnsi="Segoe UI" w:cs="Segoe UI"/>
                <w:color w:val="333333"/>
                <w:kern w:val="0"/>
                <w:sz w:val="18"/>
                <w:szCs w:val="18"/>
              </w:rPr>
              <w:t xml:space="preserve"> 9%</w:t>
            </w:r>
            <w:r w:rsidRPr="001B0E88">
              <w:rPr>
                <w:rFonts w:ascii="Segoe UI" w:eastAsia="宋体" w:hAnsi="Segoe UI" w:cs="Segoe UI"/>
                <w:color w:val="333333"/>
                <w:kern w:val="0"/>
                <w:sz w:val="18"/>
                <w:szCs w:val="18"/>
              </w:rPr>
              <w:br/>
              <w:t>Sustainable growth rate for the year 2009:</w:t>
            </w:r>
            <w:r w:rsidRPr="001B0E88">
              <w:rPr>
                <w:rFonts w:ascii="Segoe UI" w:eastAsia="宋体" w:hAnsi="Segoe UI" w:cs="Segoe UI"/>
                <w:color w:val="333333"/>
                <w:kern w:val="0"/>
                <w:sz w:val="18"/>
                <w:szCs w:val="18"/>
              </w:rPr>
              <w:br/>
              <w:t>b = earnings retention rate = (1 – Dividend payout ratio) = [1 – (1.92 / 3.20)] = 0.40</w:t>
            </w:r>
            <w:r w:rsidRPr="001B0E88">
              <w:rPr>
                <w:rFonts w:ascii="Segoe UI" w:eastAsia="宋体" w:hAnsi="Segoe UI" w:cs="Segoe UI"/>
                <w:color w:val="333333"/>
                <w:kern w:val="0"/>
                <w:sz w:val="18"/>
                <w:szCs w:val="18"/>
              </w:rPr>
              <w:br/>
            </w:r>
            <w:r w:rsidRPr="001B0E88">
              <w:rPr>
                <w:rFonts w:ascii="Segoe UI" w:eastAsia="宋体" w:hAnsi="Segoe UI" w:cs="Segoe UI"/>
                <w:i/>
                <w:iCs/>
                <w:color w:val="333333"/>
                <w:kern w:val="0"/>
                <w:sz w:val="18"/>
                <w:szCs w:val="18"/>
              </w:rPr>
              <w:t>g</w:t>
            </w:r>
            <w:r w:rsidRPr="001B0E88">
              <w:rPr>
                <w:rFonts w:ascii="Segoe UI" w:eastAsia="宋体" w:hAnsi="Segoe UI" w:cs="Segoe UI"/>
                <w:color w:val="333333"/>
                <w:kern w:val="0"/>
                <w:sz w:val="18"/>
                <w:szCs w:val="18"/>
              </w:rPr>
              <w:t xml:space="preserve"> = b × ROE; </w:t>
            </w:r>
            <w:r w:rsidRPr="001B0E88">
              <w:rPr>
                <w:rFonts w:ascii="Segoe UI" w:eastAsia="宋体" w:hAnsi="Segoe UI" w:cs="Segoe UI"/>
                <w:i/>
                <w:iCs/>
                <w:color w:val="333333"/>
                <w:kern w:val="0"/>
                <w:sz w:val="18"/>
                <w:szCs w:val="18"/>
              </w:rPr>
              <w:t>g</w:t>
            </w:r>
            <w:r w:rsidRPr="001B0E88">
              <w:rPr>
                <w:rFonts w:ascii="Segoe UI" w:eastAsia="宋体" w:hAnsi="Segoe UI" w:cs="Segoe UI"/>
                <w:color w:val="333333"/>
                <w:kern w:val="0"/>
                <w:sz w:val="18"/>
                <w:szCs w:val="18"/>
              </w:rPr>
              <w:t xml:space="preserve"> = 0.40 × 12% = 4.8%</w:t>
            </w:r>
            <w:r w:rsidRPr="001B0E88">
              <w:rPr>
                <w:rFonts w:ascii="Segoe UI" w:eastAsia="宋体" w:hAnsi="Segoe UI" w:cs="Segoe UI"/>
                <w:color w:val="333333"/>
                <w:kern w:val="0"/>
                <w:sz w:val="18"/>
                <w:szCs w:val="18"/>
              </w:rPr>
              <w:br/>
              <w:t>Average of the two approaches = (9 + 4.8) / 2 = 6.90%</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lastRenderedPageBreak/>
              <w:t>V</w:t>
            </w:r>
            <w:r w:rsidRPr="001B0E88">
              <w:rPr>
                <w:rFonts w:ascii="Segoe UI" w:eastAsia="宋体" w:hAnsi="Segoe UI" w:cs="Segoe UI"/>
                <w:color w:val="333333"/>
                <w:kern w:val="0"/>
                <w:sz w:val="18"/>
                <w:szCs w:val="18"/>
                <w:vertAlign w:val="subscript"/>
              </w:rPr>
              <w:t>0</w:t>
            </w:r>
            <w:r w:rsidRPr="001B0E88">
              <w:rPr>
                <w:rFonts w:ascii="Segoe UI" w:eastAsia="宋体" w:hAnsi="Segoe UI" w:cs="Segoe UI"/>
                <w:color w:val="333333"/>
                <w:kern w:val="0"/>
                <w:sz w:val="18"/>
                <w:szCs w:val="18"/>
              </w:rPr>
              <w:t xml:space="preserve"> = D</w:t>
            </w:r>
            <w:r w:rsidRPr="001B0E88">
              <w:rPr>
                <w:rFonts w:ascii="Segoe UI" w:eastAsia="宋体" w:hAnsi="Segoe UI" w:cs="Segoe UI"/>
                <w:color w:val="333333"/>
                <w:kern w:val="0"/>
                <w:sz w:val="18"/>
                <w:szCs w:val="18"/>
                <w:vertAlign w:val="subscript"/>
              </w:rPr>
              <w:t>1</w:t>
            </w:r>
            <w:r w:rsidRPr="001B0E88">
              <w:rPr>
                <w:rFonts w:ascii="Segoe UI" w:eastAsia="宋体" w:hAnsi="Segoe UI" w:cs="Segoe UI"/>
                <w:color w:val="333333"/>
                <w:kern w:val="0"/>
                <w:sz w:val="18"/>
                <w:szCs w:val="18"/>
              </w:rPr>
              <w:t xml:space="preserve"> / (r – </w:t>
            </w:r>
            <w:r w:rsidRPr="001B0E88">
              <w:rPr>
                <w:rFonts w:ascii="Segoe UI" w:eastAsia="宋体" w:hAnsi="Segoe UI" w:cs="Segoe UI"/>
                <w:i/>
                <w:iCs/>
                <w:color w:val="333333"/>
                <w:kern w:val="0"/>
                <w:sz w:val="18"/>
                <w:szCs w:val="18"/>
              </w:rPr>
              <w:t>g</w:t>
            </w:r>
            <w:r w:rsidRPr="001B0E88">
              <w:rPr>
                <w:rFonts w:ascii="Segoe UI" w:eastAsia="宋体" w:hAnsi="Segoe UI" w:cs="Segoe UI"/>
                <w:color w:val="333333"/>
                <w:kern w:val="0"/>
                <w:sz w:val="18"/>
                <w:szCs w:val="18"/>
              </w:rPr>
              <w:t>) = ($1.92 × 1.069) / (0.15 – 0.069) = $2.05 / 0.081 = $25.31 </w:t>
            </w:r>
          </w:p>
        </w:tc>
      </w:tr>
    </w:tbl>
    <w:p w:rsidR="001B0E88" w:rsidRDefault="001B0E88">
      <w:pPr>
        <w:rPr>
          <w:rFonts w:hint="eastAsia"/>
        </w:rPr>
      </w:pPr>
    </w:p>
    <w:tbl>
      <w:tblPr>
        <w:tblW w:w="5000" w:type="pct"/>
        <w:tblCellSpacing w:w="15" w:type="dxa"/>
        <w:tblCellMar>
          <w:top w:w="30" w:type="dxa"/>
          <w:left w:w="30" w:type="dxa"/>
          <w:bottom w:w="30" w:type="dxa"/>
          <w:right w:w="30" w:type="dxa"/>
        </w:tblCellMar>
        <w:tblLook w:val="04A0"/>
      </w:tblPr>
      <w:tblGrid>
        <w:gridCol w:w="420"/>
        <w:gridCol w:w="687"/>
        <w:gridCol w:w="7046"/>
        <w:gridCol w:w="96"/>
        <w:gridCol w:w="96"/>
        <w:gridCol w:w="111"/>
      </w:tblGrid>
      <w:tr w:rsidR="001B0E88" w:rsidRPr="001B0E88" w:rsidTr="001B0E8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B0E88" w:rsidRPr="001B0E88" w:rsidRDefault="001B0E88" w:rsidP="001B0E88">
            <w:pPr>
              <w:widowControl/>
              <w:jc w:val="left"/>
              <w:rPr>
                <w:rFonts w:ascii="Segoe UI" w:eastAsia="宋体" w:hAnsi="Segoe UI" w:cs="Segoe UI"/>
                <w:b/>
                <w:bCs/>
                <w:color w:val="000000"/>
                <w:kern w:val="0"/>
                <w:sz w:val="18"/>
                <w:szCs w:val="18"/>
              </w:rPr>
            </w:pPr>
            <w:r w:rsidRPr="001B0E88">
              <w:rPr>
                <w:rFonts w:ascii="Segoe UI" w:eastAsia="宋体" w:hAnsi="Segoe UI" w:cs="Segoe UI"/>
                <w:b/>
                <w:bCs/>
                <w:color w:val="000000"/>
                <w:kern w:val="0"/>
                <w:sz w:val="18"/>
                <w:szCs w:val="18"/>
              </w:rPr>
              <w:t>44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xml:space="preserve">Which of the following is </w:t>
            </w:r>
            <w:r w:rsidRPr="001B0E88">
              <w:rPr>
                <w:rFonts w:ascii="Segoe UI" w:eastAsia="宋体" w:hAnsi="Segoe UI" w:cs="Segoe UI"/>
                <w:i/>
                <w:iCs/>
                <w:color w:val="333333"/>
                <w:kern w:val="0"/>
                <w:sz w:val="18"/>
                <w:szCs w:val="18"/>
              </w:rPr>
              <w:t>least likely</w:t>
            </w:r>
            <w:r w:rsidRPr="001B0E88">
              <w:rPr>
                <w:rFonts w:ascii="Segoe UI" w:eastAsia="宋体" w:hAnsi="Segoe UI" w:cs="Segoe UI"/>
                <w:color w:val="333333"/>
                <w:kern w:val="0"/>
                <w:sz w:val="18"/>
                <w:szCs w:val="18"/>
              </w:rPr>
              <w:t xml:space="preserve"> to be directly reflected in the returns on a commodity index?</w:t>
            </w: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82" type="#_x0000_t75" style="width:20.25pt;height:15.75pt" o:ole="">
                  <v:imagedata r:id="rId7" o:title=""/>
                </v:shape>
                <w:control r:id="rId84" w:name="DefaultOcxName44" w:shapeid="_x0000_i128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A.</w:t>
            </w:r>
            <w:r w:rsidRPr="001B0E88">
              <w:rPr>
                <w:rFonts w:ascii="Segoe UI" w:eastAsia="宋体" w:hAnsi="Segoe UI" w:cs="Segoe UI"/>
                <w:color w:val="000000"/>
                <w:kern w:val="0"/>
                <w:sz w:val="18"/>
                <w:szCs w:val="18"/>
              </w:rPr>
              <w:t xml:space="preserve"> Roll yield</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81" type="#_x0000_t75" style="width:20.25pt;height:15.75pt" o:ole="">
                  <v:imagedata r:id="rId9" o:title=""/>
                </v:shape>
                <w:control r:id="rId85" w:name="DefaultOcxName124" w:shapeid="_x0000_i12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B.</w:t>
            </w:r>
            <w:r w:rsidRPr="001B0E88">
              <w:rPr>
                <w:rFonts w:ascii="Segoe UI" w:eastAsia="宋体" w:hAnsi="Segoe UI" w:cs="Segoe UI"/>
                <w:color w:val="000000"/>
                <w:kern w:val="0"/>
                <w:sz w:val="18"/>
                <w:szCs w:val="18"/>
              </w:rPr>
              <w:t xml:space="preserve"> Risk-free interest rate</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80" type="#_x0000_t75" style="width:20.25pt;height:15.75pt" o:ole="">
                  <v:imagedata r:id="rId9" o:title=""/>
                </v:shape>
                <w:control r:id="rId86" w:name="DefaultOcxName224" w:shapeid="_x0000_i12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C.</w:t>
            </w:r>
            <w:r w:rsidRPr="001B0E88">
              <w:rPr>
                <w:rFonts w:ascii="Segoe UI" w:eastAsia="宋体" w:hAnsi="Segoe UI" w:cs="Segoe UI"/>
                <w:color w:val="000000"/>
                <w:kern w:val="0"/>
                <w:sz w:val="18"/>
                <w:szCs w:val="18"/>
              </w:rPr>
              <w:t xml:space="preserve"> Changes in the underlying commodity’s price</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noWrap/>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0" w:type="auto"/>
            <w:gridSpan w:val="5"/>
            <w:shd w:val="clear" w:color="auto" w:fill="FF6347"/>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b/>
                <w:bCs/>
                <w:color w:val="000080"/>
                <w:kern w:val="0"/>
                <w:sz w:val="16"/>
                <w:szCs w:val="16"/>
              </w:rPr>
              <w:t>Feedback:</w:t>
            </w:r>
            <w:r w:rsidRPr="001B0E88">
              <w:rPr>
                <w:rFonts w:ascii="Segoe UI" w:eastAsia="宋体" w:hAnsi="Segoe UI" w:cs="Segoe UI"/>
                <w:color w:val="333333"/>
                <w:kern w:val="0"/>
                <w:sz w:val="18"/>
                <w:szCs w:val="18"/>
              </w:rPr>
              <w:t xml:space="preserve"> You have answered incorrectly.</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Correct answer: </w:t>
            </w:r>
            <w:r w:rsidRPr="001B0E88">
              <w:rPr>
                <w:rFonts w:ascii="Segoe UI" w:eastAsia="宋体" w:hAnsi="Segoe UI" w:cs="Segoe UI"/>
                <w:b/>
                <w:bCs/>
                <w:color w:val="333333"/>
                <w:kern w:val="0"/>
                <w:sz w:val="18"/>
                <w:szCs w:val="18"/>
              </w:rPr>
              <w:t>C</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"Security-Market Indices," Paul D. Kaplan, CFA, and Dorothy C. Kelly, CFA</w:t>
            </w:r>
            <w:r w:rsidRPr="001B0E88">
              <w:rPr>
                <w:rFonts w:ascii="Segoe UI" w:eastAsia="宋体" w:hAnsi="Segoe UI" w:cs="Segoe UI"/>
                <w:color w:val="333333"/>
                <w:kern w:val="0"/>
                <w:sz w:val="18"/>
                <w:szCs w:val="18"/>
              </w:rPr>
              <w:br/>
              <w:t>2011 Modular Level I, Vol. 5, pp. 109–110</w:t>
            </w:r>
            <w:r w:rsidRPr="001B0E88">
              <w:rPr>
                <w:rFonts w:ascii="Segoe UI" w:eastAsia="宋体" w:hAnsi="Segoe UI" w:cs="Segoe UI"/>
                <w:color w:val="333333"/>
                <w:kern w:val="0"/>
                <w:sz w:val="18"/>
                <w:szCs w:val="18"/>
              </w:rPr>
              <w:br/>
              <w:t>Study Session 13–56–j</w:t>
            </w:r>
            <w:r w:rsidRPr="001B0E88">
              <w:rPr>
                <w:rFonts w:ascii="Segoe UI" w:eastAsia="宋体" w:hAnsi="Segoe UI" w:cs="Segoe UI"/>
                <w:color w:val="333333"/>
                <w:kern w:val="0"/>
                <w:sz w:val="18"/>
                <w:szCs w:val="18"/>
              </w:rPr>
              <w:br/>
              <w:t>Discuss indices representing alternative investments.</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Commodity index returns reflect the risk-free interest rate, the changes in futures prices, and the roll yield. Changes in the underlying commodity price are not directly reflected in a commodity index. </w:t>
            </w:r>
          </w:p>
        </w:tc>
      </w:tr>
    </w:tbl>
    <w:p w:rsidR="001B0E88" w:rsidRDefault="001B0E88">
      <w:pPr>
        <w:rPr>
          <w:rFonts w:hint="eastAsia"/>
        </w:rPr>
      </w:pPr>
    </w:p>
    <w:tbl>
      <w:tblPr>
        <w:tblW w:w="5000" w:type="pct"/>
        <w:tblCellSpacing w:w="15" w:type="dxa"/>
        <w:tblCellMar>
          <w:top w:w="30" w:type="dxa"/>
          <w:left w:w="30" w:type="dxa"/>
          <w:bottom w:w="30" w:type="dxa"/>
          <w:right w:w="30" w:type="dxa"/>
        </w:tblCellMar>
        <w:tblLook w:val="04A0"/>
      </w:tblPr>
      <w:tblGrid>
        <w:gridCol w:w="420"/>
        <w:gridCol w:w="638"/>
        <w:gridCol w:w="7089"/>
        <w:gridCol w:w="98"/>
        <w:gridCol w:w="98"/>
        <w:gridCol w:w="113"/>
      </w:tblGrid>
      <w:tr w:rsidR="001B0E88" w:rsidRPr="001B0E88" w:rsidTr="001B0E8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B0E88" w:rsidRPr="001B0E88" w:rsidRDefault="001B0E88" w:rsidP="001B0E88">
            <w:pPr>
              <w:widowControl/>
              <w:jc w:val="left"/>
              <w:rPr>
                <w:rFonts w:ascii="Segoe UI" w:eastAsia="宋体" w:hAnsi="Segoe UI" w:cs="Segoe UI"/>
                <w:b/>
                <w:bCs/>
                <w:color w:val="000000"/>
                <w:kern w:val="0"/>
                <w:sz w:val="18"/>
                <w:szCs w:val="18"/>
              </w:rPr>
            </w:pPr>
            <w:r w:rsidRPr="001B0E88">
              <w:rPr>
                <w:rFonts w:ascii="Segoe UI" w:eastAsia="宋体" w:hAnsi="Segoe UI" w:cs="Segoe UI"/>
                <w:b/>
                <w:bCs/>
                <w:color w:val="000000"/>
                <w:kern w:val="0"/>
                <w:sz w:val="18"/>
                <w:szCs w:val="18"/>
              </w:rPr>
              <w:t>45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The following data pertains to a margin purchase of a stock by an investor.</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38"/>
              <w:gridCol w:w="2547"/>
            </w:tblGrid>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Stock's purchase price</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$50 / share</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xml:space="preserve">Sale price </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$55 / share</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Shares purchased</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500</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Margin</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45%</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Call money rate</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6%</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Dividend</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$1.80 / share</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Transaction commission on purchase</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$0.05 / share</w:t>
                  </w:r>
                </w:p>
              </w:tc>
            </w:tr>
            <w:tr w:rsidR="001B0E88" w:rsidRPr="001B0E88">
              <w:trPr>
                <w:tblCellSpacing w:w="15" w:type="dxa"/>
              </w:trPr>
              <w:tc>
                <w:tcPr>
                  <w:tcW w:w="358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Transaction commission on sale</w:t>
                  </w:r>
                </w:p>
              </w:tc>
              <w:tc>
                <w:tcPr>
                  <w:tcW w:w="169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$0.05 / share</w:t>
                  </w:r>
                </w:p>
              </w:tc>
            </w:tr>
          </w:tbl>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br/>
              <w:t xml:space="preserve">If the stock is sold exactly one year after the purchase, the total return on the investor’s investment is </w:t>
            </w:r>
            <w:r w:rsidRPr="001B0E88">
              <w:rPr>
                <w:rFonts w:ascii="Segoe UI" w:eastAsia="宋体" w:hAnsi="Segoe UI" w:cs="Segoe UI"/>
                <w:i/>
                <w:iCs/>
                <w:color w:val="333333"/>
                <w:kern w:val="0"/>
                <w:sz w:val="18"/>
                <w:szCs w:val="18"/>
              </w:rPr>
              <w:t>closest</w:t>
            </w:r>
            <w:r w:rsidRPr="001B0E88">
              <w:rPr>
                <w:rFonts w:ascii="Segoe UI" w:eastAsia="宋体" w:hAnsi="Segoe UI" w:cs="Segoe UI"/>
                <w:color w:val="333333"/>
                <w:kern w:val="0"/>
                <w:sz w:val="18"/>
                <w:szCs w:val="18"/>
              </w:rPr>
              <w:t xml:space="preserve"> to:</w:t>
            </w: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91" type="#_x0000_t75" style="width:20.25pt;height:15.75pt" o:ole="">
                  <v:imagedata r:id="rId7" o:title=""/>
                </v:shape>
                <w:control r:id="rId87" w:name="DefaultOcxName45" w:shapeid="_x0000_i129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A.</w:t>
            </w:r>
            <w:r w:rsidRPr="001B0E88">
              <w:rPr>
                <w:rFonts w:ascii="Segoe UI" w:eastAsia="宋体" w:hAnsi="Segoe UI" w:cs="Segoe UI"/>
                <w:color w:val="000000"/>
                <w:kern w:val="0"/>
                <w:sz w:val="18"/>
                <w:szCs w:val="18"/>
              </w:rPr>
              <w:t xml:space="preserve"> 14%.</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90" type="#_x0000_t75" style="width:20.25pt;height:15.75pt" o:ole="">
                  <v:imagedata r:id="rId9" o:title=""/>
                </v:shape>
                <w:control r:id="rId88" w:name="DefaultOcxName125" w:shapeid="_x0000_i12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B.</w:t>
            </w:r>
            <w:r w:rsidRPr="001B0E88">
              <w:rPr>
                <w:rFonts w:ascii="Segoe UI" w:eastAsia="宋体" w:hAnsi="Segoe UI" w:cs="Segoe UI"/>
                <w:color w:val="000000"/>
                <w:kern w:val="0"/>
                <w:sz w:val="18"/>
                <w:szCs w:val="18"/>
              </w:rPr>
              <w:t xml:space="preserve"> 19%.</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B0E88" w:rsidRPr="001B0E88" w:rsidRDefault="001B0E88" w:rsidP="001B0E88">
            <w:pPr>
              <w:widowControl/>
              <w:jc w:val="center"/>
              <w:rPr>
                <w:rFonts w:ascii="Segoe UI" w:eastAsia="宋体" w:hAnsi="Segoe UI" w:cs="Segoe UI"/>
                <w:color w:val="000000"/>
                <w:kern w:val="0"/>
                <w:sz w:val="18"/>
                <w:szCs w:val="18"/>
              </w:rPr>
            </w:pPr>
            <w:r w:rsidRPr="001B0E88">
              <w:rPr>
                <w:rFonts w:ascii="Segoe UI" w:eastAsia="宋体" w:hAnsi="Segoe UI" w:cs="Segoe UI"/>
                <w:color w:val="000000"/>
                <w:kern w:val="0"/>
                <w:sz w:val="18"/>
                <w:szCs w:val="18"/>
              </w:rPr>
              <w:object w:dxaOrig="1440" w:dyaOrig="1440">
                <v:shape id="_x0000_i1289" type="#_x0000_t75" style="width:20.25pt;height:15.75pt" o:ole="">
                  <v:imagedata r:id="rId9" o:title=""/>
                </v:shape>
                <w:control r:id="rId89" w:name="DefaultOcxName225" w:shapeid="_x0000_i12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B0E88" w:rsidRPr="001B0E88" w:rsidRDefault="001B0E88" w:rsidP="001B0E88">
            <w:pPr>
              <w:widowControl/>
              <w:jc w:val="left"/>
              <w:rPr>
                <w:rFonts w:ascii="Segoe UI" w:eastAsia="宋体" w:hAnsi="Segoe UI" w:cs="Segoe UI"/>
                <w:color w:val="000000"/>
                <w:kern w:val="0"/>
                <w:sz w:val="18"/>
                <w:szCs w:val="18"/>
              </w:rPr>
            </w:pPr>
            <w:r w:rsidRPr="001B0E88">
              <w:rPr>
                <w:rFonts w:ascii="Segoe UI" w:eastAsia="宋体" w:hAnsi="Segoe UI" w:cs="Segoe UI"/>
                <w:b/>
                <w:bCs/>
                <w:color w:val="000000"/>
                <w:kern w:val="0"/>
                <w:sz w:val="18"/>
                <w:szCs w:val="18"/>
              </w:rPr>
              <w:t>C.</w:t>
            </w:r>
            <w:r w:rsidRPr="001B0E88">
              <w:rPr>
                <w:rFonts w:ascii="Segoe UI" w:eastAsia="宋体" w:hAnsi="Segoe UI" w:cs="Segoe UI"/>
                <w:color w:val="000000"/>
                <w:kern w:val="0"/>
                <w:sz w:val="18"/>
                <w:szCs w:val="18"/>
              </w:rPr>
              <w:t xml:space="preserve"> 22%.</w:t>
            </w: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c>
          <w:tcPr>
            <w:tcW w:w="0" w:type="auto"/>
            <w:vAlign w:val="center"/>
            <w:hideMark/>
          </w:tcPr>
          <w:p w:rsidR="001B0E88" w:rsidRPr="001B0E88" w:rsidRDefault="001B0E88" w:rsidP="001B0E88">
            <w:pPr>
              <w:widowControl/>
              <w:jc w:val="left"/>
              <w:rPr>
                <w:rFonts w:ascii="Times New Roman" w:eastAsia="Times New Roman" w:hAnsi="Times New Roman" w:cs="Times New Roman"/>
                <w:kern w:val="0"/>
                <w:sz w:val="20"/>
                <w:szCs w:val="20"/>
              </w:rPr>
            </w:pPr>
          </w:p>
        </w:tc>
      </w:tr>
      <w:tr w:rsidR="001B0E88" w:rsidRPr="001B0E88" w:rsidTr="001B0E88">
        <w:trPr>
          <w:trHeight w:val="525"/>
          <w:tblCellSpacing w:w="15" w:type="dxa"/>
        </w:trPr>
        <w:tc>
          <w:tcPr>
            <w:tcW w:w="375" w:type="dxa"/>
            <w:noWrap/>
            <w:vAlign w:val="center"/>
            <w:hideMark/>
          </w:tcPr>
          <w:p w:rsidR="001B0E88" w:rsidRPr="001B0E88" w:rsidRDefault="001B0E88" w:rsidP="001B0E88">
            <w:pPr>
              <w:widowControl/>
              <w:jc w:val="center"/>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w:t>
            </w:r>
          </w:p>
        </w:tc>
        <w:tc>
          <w:tcPr>
            <w:tcW w:w="0" w:type="auto"/>
            <w:gridSpan w:val="5"/>
            <w:shd w:val="clear" w:color="auto" w:fill="FF6347"/>
            <w:vAlign w:val="center"/>
            <w:hideMark/>
          </w:tcPr>
          <w:p w:rsidR="001B0E88" w:rsidRPr="001B0E88" w:rsidRDefault="001B0E88" w:rsidP="001B0E88">
            <w:pPr>
              <w:widowControl/>
              <w:spacing w:after="240"/>
              <w:jc w:val="left"/>
              <w:rPr>
                <w:rFonts w:ascii="Segoe UI" w:eastAsia="宋体" w:hAnsi="Segoe UI" w:cs="Segoe UI"/>
                <w:color w:val="333333"/>
                <w:kern w:val="0"/>
                <w:sz w:val="18"/>
                <w:szCs w:val="18"/>
              </w:rPr>
            </w:pPr>
            <w:r w:rsidRPr="001B0E88">
              <w:rPr>
                <w:rFonts w:ascii="Segoe UI" w:eastAsia="宋体" w:hAnsi="Segoe UI" w:cs="Segoe UI"/>
                <w:b/>
                <w:bCs/>
                <w:color w:val="000080"/>
                <w:kern w:val="0"/>
                <w:sz w:val="16"/>
                <w:szCs w:val="16"/>
              </w:rPr>
              <w:t>Feedback:</w:t>
            </w:r>
            <w:r w:rsidRPr="001B0E88">
              <w:rPr>
                <w:rFonts w:ascii="Segoe UI" w:eastAsia="宋体" w:hAnsi="Segoe UI" w:cs="Segoe UI"/>
                <w:color w:val="333333"/>
                <w:kern w:val="0"/>
                <w:sz w:val="18"/>
                <w:szCs w:val="18"/>
              </w:rPr>
              <w:t xml:space="preserve"> You have answered incorrectly.</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 xml:space="preserve">Correct answer: </w:t>
            </w:r>
            <w:r w:rsidRPr="001B0E88">
              <w:rPr>
                <w:rFonts w:ascii="Segoe UI" w:eastAsia="宋体" w:hAnsi="Segoe UI" w:cs="Segoe UI"/>
                <w:b/>
                <w:bCs/>
                <w:color w:val="333333"/>
                <w:kern w:val="0"/>
                <w:sz w:val="18"/>
                <w:szCs w:val="18"/>
              </w:rPr>
              <w:t>C</w:t>
            </w:r>
            <w:r w:rsidRPr="001B0E88">
              <w:rPr>
                <w:rFonts w:ascii="Segoe UI" w:eastAsia="宋体" w:hAnsi="Segoe UI" w:cs="Segoe UI"/>
                <w:color w:val="333333"/>
                <w:kern w:val="0"/>
                <w:sz w:val="18"/>
                <w:szCs w:val="18"/>
              </w:rPr>
              <w:br/>
            </w:r>
            <w:r w:rsidRPr="001B0E88">
              <w:rPr>
                <w:rFonts w:ascii="Segoe UI" w:eastAsia="宋体" w:hAnsi="Segoe UI" w:cs="Segoe UI"/>
                <w:color w:val="333333"/>
                <w:kern w:val="0"/>
                <w:sz w:val="18"/>
                <w:szCs w:val="18"/>
              </w:rPr>
              <w:br/>
              <w:t>"Market Organization and Structure," Larry E. Harris</w:t>
            </w:r>
            <w:r w:rsidRPr="001B0E88">
              <w:rPr>
                <w:rFonts w:ascii="Segoe UI" w:eastAsia="宋体" w:hAnsi="Segoe UI" w:cs="Segoe UI"/>
                <w:color w:val="333333"/>
                <w:kern w:val="0"/>
                <w:sz w:val="18"/>
                <w:szCs w:val="18"/>
              </w:rPr>
              <w:br/>
              <w:t>2011 Modular Level I, Vol. 5, pp. 44–45</w:t>
            </w:r>
            <w:r w:rsidRPr="001B0E88">
              <w:rPr>
                <w:rFonts w:ascii="Segoe UI" w:eastAsia="宋体" w:hAnsi="Segoe UI" w:cs="Segoe UI"/>
                <w:color w:val="333333"/>
                <w:kern w:val="0"/>
                <w:sz w:val="18"/>
                <w:szCs w:val="18"/>
              </w:rPr>
              <w:br/>
              <w:t>Study Session 13–55–f</w:t>
            </w:r>
            <w:r w:rsidRPr="001B0E88">
              <w:rPr>
                <w:rFonts w:ascii="Segoe UI" w:eastAsia="宋体" w:hAnsi="Segoe UI" w:cs="Segoe UI"/>
                <w:color w:val="333333"/>
                <w:kern w:val="0"/>
                <w:sz w:val="18"/>
                <w:szCs w:val="18"/>
              </w:rPr>
              <w:br/>
              <w:t>Calculate and interpret the leverage ratio, the rate of return on a margin transaction, and the security price at which the investor would receive a margin call.</w:t>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25"/>
              <w:gridCol w:w="1890"/>
            </w:tblGrid>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Proceeds on sale: $55 × 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$27,500</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Payoff loan: $50 × 500 × 0.55</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$13,750</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Margin interest paid: $13,750 × 0.06</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$825</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Dividend received: $1.80 × 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$900</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Sales commission paid: $0.05 × 500</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$25</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Remaining equity</w:t>
                  </w:r>
                </w:p>
              </w:tc>
              <w:tc>
                <w:tcPr>
                  <w:tcW w:w="124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$13,800</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Initial investment (including commission):</w:t>
                  </w:r>
                  <w:r w:rsidRPr="001B0E88">
                    <w:rPr>
                      <w:rFonts w:ascii="Segoe UI" w:eastAsia="宋体" w:hAnsi="Segoe UI" w:cs="Segoe UI"/>
                      <w:color w:val="333333"/>
                      <w:kern w:val="0"/>
                      <w:sz w:val="18"/>
                      <w:szCs w:val="18"/>
                    </w:rPr>
                    <w:br/>
                    <w:t>($50 × 500 × 0.45) + ($0.05 × 500)</w:t>
                  </w:r>
                </w:p>
              </w:tc>
              <w:tc>
                <w:tcPr>
                  <w:tcW w:w="1245" w:type="dxa"/>
                  <w:tcBorders>
                    <w:top w:val="outset" w:sz="6" w:space="0" w:color="auto"/>
                    <w:left w:val="outset" w:sz="6" w:space="0" w:color="auto"/>
                    <w:bottom w:val="outset" w:sz="6" w:space="0" w:color="auto"/>
                    <w:right w:val="outset" w:sz="6" w:space="0" w:color="auto"/>
                  </w:tcBorders>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$11,275</w:t>
                  </w:r>
                </w:p>
              </w:tc>
            </w:tr>
            <w:tr w:rsidR="001B0E88" w:rsidRPr="001B0E88">
              <w:trPr>
                <w:tblCellSpacing w:w="15" w:type="dxa"/>
              </w:trPr>
              <w:tc>
                <w:tcPr>
                  <w:tcW w:w="4035" w:type="dxa"/>
                  <w:tcBorders>
                    <w:top w:val="outset" w:sz="6" w:space="0" w:color="auto"/>
                    <w:left w:val="outset" w:sz="6" w:space="0" w:color="auto"/>
                    <w:bottom w:val="outset" w:sz="6" w:space="0" w:color="auto"/>
                    <w:right w:val="outset" w:sz="6" w:space="0" w:color="auto"/>
                  </w:tcBorders>
                  <w:vAlign w:val="center"/>
                  <w:hideMark/>
                </w:tcPr>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 xml:space="preserve">Return on the initial investment: </w:t>
                  </w:r>
                  <w:r w:rsidRPr="001B0E88">
                    <w:rPr>
                      <w:rFonts w:ascii="Segoe UI" w:eastAsia="宋体" w:hAnsi="Segoe UI" w:cs="Segoe UI"/>
                      <w:color w:val="333333"/>
                      <w:kern w:val="0"/>
                      <w:sz w:val="18"/>
                      <w:szCs w:val="18"/>
                    </w:rPr>
                    <w:br/>
                    <w:t>($13,800 – $11,275) / $11,275</w:t>
                  </w:r>
                </w:p>
              </w:tc>
              <w:tc>
                <w:tcPr>
                  <w:tcW w:w="1245" w:type="dxa"/>
                  <w:tcBorders>
                    <w:top w:val="outset" w:sz="6" w:space="0" w:color="auto"/>
                    <w:left w:val="outset" w:sz="6" w:space="0" w:color="auto"/>
                    <w:bottom w:val="outset" w:sz="6" w:space="0" w:color="auto"/>
                    <w:right w:val="outset" w:sz="6" w:space="0" w:color="auto"/>
                  </w:tcBorders>
                  <w:hideMark/>
                </w:tcPr>
                <w:p w:rsidR="001B0E88" w:rsidRPr="001B0E88" w:rsidRDefault="001B0E88" w:rsidP="001B0E88">
                  <w:pPr>
                    <w:widowControl/>
                    <w:jc w:val="righ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t>22.4%</w:t>
                  </w:r>
                </w:p>
              </w:tc>
            </w:tr>
          </w:tbl>
          <w:p w:rsidR="001B0E88" w:rsidRPr="001B0E88" w:rsidRDefault="001B0E88" w:rsidP="001B0E88">
            <w:pPr>
              <w:widowControl/>
              <w:jc w:val="left"/>
              <w:rPr>
                <w:rFonts w:ascii="Segoe UI" w:eastAsia="宋体" w:hAnsi="Segoe UI" w:cs="Segoe UI"/>
                <w:color w:val="333333"/>
                <w:kern w:val="0"/>
                <w:sz w:val="18"/>
                <w:szCs w:val="18"/>
              </w:rPr>
            </w:pPr>
            <w:r w:rsidRPr="001B0E88">
              <w:rPr>
                <w:rFonts w:ascii="Segoe UI" w:eastAsia="宋体" w:hAnsi="Segoe UI" w:cs="Segoe UI"/>
                <w:color w:val="333333"/>
                <w:kern w:val="0"/>
                <w:sz w:val="18"/>
                <w:szCs w:val="18"/>
              </w:rPr>
              <w:br/>
              <w:t>See Example 19 on pp. 44-45. </w:t>
            </w:r>
          </w:p>
        </w:tc>
      </w:tr>
    </w:tbl>
    <w:p w:rsidR="001B0E88" w:rsidRDefault="001B0E88">
      <w:pPr>
        <w:rPr>
          <w:rFonts w:hint="eastAsia"/>
        </w:rPr>
      </w:pPr>
    </w:p>
    <w:tbl>
      <w:tblPr>
        <w:tblW w:w="5000" w:type="pct"/>
        <w:tblCellSpacing w:w="15" w:type="dxa"/>
        <w:tblCellMar>
          <w:top w:w="30" w:type="dxa"/>
          <w:left w:w="30" w:type="dxa"/>
          <w:bottom w:w="30" w:type="dxa"/>
          <w:right w:w="30" w:type="dxa"/>
        </w:tblCellMar>
        <w:tblLook w:val="04A0"/>
      </w:tblPr>
      <w:tblGrid>
        <w:gridCol w:w="420"/>
        <w:gridCol w:w="746"/>
        <w:gridCol w:w="6987"/>
        <w:gridCol w:w="96"/>
        <w:gridCol w:w="96"/>
        <w:gridCol w:w="111"/>
      </w:tblGrid>
      <w:tr w:rsidR="00157859" w:rsidRPr="00157859" w:rsidTr="00157859">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57859" w:rsidRPr="00157859" w:rsidRDefault="00157859" w:rsidP="00157859">
            <w:pPr>
              <w:widowControl/>
              <w:jc w:val="left"/>
              <w:rPr>
                <w:rFonts w:ascii="Segoe UI" w:eastAsia="宋体" w:hAnsi="Segoe UI" w:cs="Segoe UI"/>
                <w:b/>
                <w:bCs/>
                <w:color w:val="000000"/>
                <w:kern w:val="0"/>
                <w:sz w:val="18"/>
                <w:szCs w:val="18"/>
              </w:rPr>
            </w:pPr>
            <w:r w:rsidRPr="00157859">
              <w:rPr>
                <w:rFonts w:ascii="Segoe UI" w:eastAsia="宋体" w:hAnsi="Segoe UI" w:cs="Segoe UI"/>
                <w:b/>
                <w:bCs/>
                <w:color w:val="000000"/>
                <w:kern w:val="0"/>
                <w:sz w:val="18"/>
                <w:szCs w:val="18"/>
              </w:rPr>
              <w:t>46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57859" w:rsidRPr="00157859" w:rsidRDefault="00157859" w:rsidP="00157859">
            <w:pPr>
              <w:widowControl/>
              <w:jc w:val="left"/>
              <w:rPr>
                <w:rFonts w:ascii="Segoe UI" w:eastAsia="宋体" w:hAnsi="Segoe UI" w:cs="Segoe UI"/>
                <w:color w:val="333333"/>
                <w:kern w:val="0"/>
                <w:sz w:val="18"/>
                <w:szCs w:val="18"/>
              </w:rPr>
            </w:pPr>
            <w:r w:rsidRPr="00157859">
              <w:rPr>
                <w:rFonts w:ascii="Segoe UI" w:eastAsia="宋体" w:hAnsi="Segoe UI" w:cs="Segoe UI"/>
                <w:color w:val="333333"/>
                <w:kern w:val="0"/>
                <w:sz w:val="18"/>
                <w:szCs w:val="18"/>
              </w:rPr>
              <w:t xml:space="preserve">Derivative markets serve a number of purposes in global economic systems. Which of the following is </w:t>
            </w:r>
            <w:r w:rsidRPr="00157859">
              <w:rPr>
                <w:rFonts w:ascii="Segoe UI" w:eastAsia="宋体" w:hAnsi="Segoe UI" w:cs="Segoe UI"/>
                <w:i/>
                <w:iCs/>
                <w:color w:val="333333"/>
                <w:kern w:val="0"/>
                <w:sz w:val="18"/>
                <w:szCs w:val="18"/>
              </w:rPr>
              <w:t>least likely</w:t>
            </w:r>
            <w:r w:rsidRPr="00157859">
              <w:rPr>
                <w:rFonts w:ascii="Segoe UI" w:eastAsia="宋体" w:hAnsi="Segoe UI" w:cs="Segoe UI"/>
                <w:color w:val="333333"/>
                <w:kern w:val="0"/>
                <w:sz w:val="18"/>
                <w:szCs w:val="18"/>
              </w:rPr>
              <w:t xml:space="preserve"> one of these purposes?</w:t>
            </w:r>
          </w:p>
        </w:tc>
      </w:tr>
      <w:tr w:rsidR="00157859" w:rsidRPr="00157859" w:rsidTr="00157859">
        <w:trPr>
          <w:trHeight w:val="525"/>
          <w:tblCellSpacing w:w="15" w:type="dxa"/>
        </w:trPr>
        <w:tc>
          <w:tcPr>
            <w:tcW w:w="375" w:type="dxa"/>
            <w:vAlign w:val="center"/>
            <w:hideMark/>
          </w:tcPr>
          <w:p w:rsidR="00157859" w:rsidRPr="00157859" w:rsidRDefault="00157859" w:rsidP="00157859">
            <w:pPr>
              <w:widowControl/>
              <w:jc w:val="left"/>
              <w:rPr>
                <w:rFonts w:ascii="Segoe UI" w:eastAsia="宋体" w:hAnsi="Segoe UI" w:cs="Segoe UI"/>
                <w:color w:val="333333"/>
                <w:kern w:val="0"/>
                <w:sz w:val="18"/>
                <w:szCs w:val="18"/>
              </w:rPr>
            </w:pPr>
            <w:r w:rsidRPr="0015785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57859" w:rsidRPr="00157859" w:rsidRDefault="00157859" w:rsidP="00157859">
            <w:pPr>
              <w:widowControl/>
              <w:jc w:val="center"/>
              <w:rPr>
                <w:rFonts w:ascii="Segoe UI" w:eastAsia="宋体" w:hAnsi="Segoe UI" w:cs="Segoe UI"/>
                <w:color w:val="000000"/>
                <w:kern w:val="0"/>
                <w:sz w:val="18"/>
                <w:szCs w:val="18"/>
              </w:rPr>
            </w:pPr>
            <w:r w:rsidRPr="00157859">
              <w:rPr>
                <w:rFonts w:ascii="Segoe UI" w:eastAsia="宋体" w:hAnsi="Segoe UI" w:cs="Segoe UI"/>
                <w:color w:val="000000"/>
                <w:kern w:val="0"/>
                <w:sz w:val="18"/>
                <w:szCs w:val="18"/>
              </w:rPr>
              <w:object w:dxaOrig="1440" w:dyaOrig="1440">
                <v:shape id="_x0000_i1300" type="#_x0000_t75" style="width:20.25pt;height:15.75pt" o:ole="">
                  <v:imagedata r:id="rId7" o:title=""/>
                </v:shape>
                <w:control r:id="rId90" w:name="DefaultOcxName46" w:shapeid="_x0000_i130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57859" w:rsidRPr="00157859" w:rsidRDefault="00157859" w:rsidP="00157859">
            <w:pPr>
              <w:widowControl/>
              <w:jc w:val="left"/>
              <w:rPr>
                <w:rFonts w:ascii="Segoe UI" w:eastAsia="宋体" w:hAnsi="Segoe UI" w:cs="Segoe UI"/>
                <w:color w:val="000000"/>
                <w:kern w:val="0"/>
                <w:sz w:val="18"/>
                <w:szCs w:val="18"/>
              </w:rPr>
            </w:pPr>
            <w:r w:rsidRPr="00157859">
              <w:rPr>
                <w:rFonts w:ascii="Segoe UI" w:eastAsia="宋体" w:hAnsi="Segoe UI" w:cs="Segoe UI"/>
                <w:b/>
                <w:bCs/>
                <w:color w:val="000000"/>
                <w:kern w:val="0"/>
                <w:sz w:val="18"/>
                <w:szCs w:val="18"/>
              </w:rPr>
              <w:t>A.</w:t>
            </w:r>
            <w:r w:rsidRPr="00157859">
              <w:rPr>
                <w:rFonts w:ascii="Segoe UI" w:eastAsia="宋体" w:hAnsi="Segoe UI" w:cs="Segoe UI"/>
                <w:color w:val="000000"/>
                <w:kern w:val="0"/>
                <w:sz w:val="18"/>
                <w:szCs w:val="18"/>
              </w:rPr>
              <w:t xml:space="preserve"> Reveal prices and volatility of the underlying assets</w:t>
            </w: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r>
      <w:tr w:rsidR="00157859" w:rsidRPr="00157859" w:rsidTr="00157859">
        <w:trPr>
          <w:trHeight w:val="525"/>
          <w:tblCellSpacing w:w="15" w:type="dxa"/>
        </w:trPr>
        <w:tc>
          <w:tcPr>
            <w:tcW w:w="375" w:type="dxa"/>
            <w:vAlign w:val="center"/>
            <w:hideMark/>
          </w:tcPr>
          <w:p w:rsidR="00157859" w:rsidRPr="00157859" w:rsidRDefault="00157859" w:rsidP="00157859">
            <w:pPr>
              <w:widowControl/>
              <w:jc w:val="left"/>
              <w:rPr>
                <w:rFonts w:ascii="Segoe UI" w:eastAsia="宋体" w:hAnsi="Segoe UI" w:cs="Segoe UI"/>
                <w:color w:val="333333"/>
                <w:kern w:val="0"/>
                <w:sz w:val="18"/>
                <w:szCs w:val="18"/>
              </w:rPr>
            </w:pPr>
            <w:r w:rsidRPr="0015785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57859" w:rsidRPr="00157859" w:rsidRDefault="00157859" w:rsidP="00157859">
            <w:pPr>
              <w:widowControl/>
              <w:jc w:val="center"/>
              <w:rPr>
                <w:rFonts w:ascii="Segoe UI" w:eastAsia="宋体" w:hAnsi="Segoe UI" w:cs="Segoe UI"/>
                <w:color w:val="000000"/>
                <w:kern w:val="0"/>
                <w:sz w:val="18"/>
                <w:szCs w:val="18"/>
              </w:rPr>
            </w:pPr>
            <w:r w:rsidRPr="00157859">
              <w:rPr>
                <w:rFonts w:ascii="Segoe UI" w:eastAsia="宋体" w:hAnsi="Segoe UI" w:cs="Segoe UI"/>
                <w:color w:val="000000"/>
                <w:kern w:val="0"/>
                <w:sz w:val="18"/>
                <w:szCs w:val="18"/>
              </w:rPr>
              <w:object w:dxaOrig="1440" w:dyaOrig="1440">
                <v:shape id="_x0000_i1299" type="#_x0000_t75" style="width:20.25pt;height:15.75pt" o:ole="">
                  <v:imagedata r:id="rId9" o:title=""/>
                </v:shape>
                <w:control r:id="rId91" w:name="DefaultOcxName126" w:shapeid="_x0000_i129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57859" w:rsidRPr="00157859" w:rsidRDefault="00157859" w:rsidP="00157859">
            <w:pPr>
              <w:widowControl/>
              <w:jc w:val="left"/>
              <w:rPr>
                <w:rFonts w:ascii="Segoe UI" w:eastAsia="宋体" w:hAnsi="Segoe UI" w:cs="Segoe UI"/>
                <w:color w:val="000000"/>
                <w:kern w:val="0"/>
                <w:sz w:val="18"/>
                <w:szCs w:val="18"/>
              </w:rPr>
            </w:pPr>
            <w:r w:rsidRPr="00157859">
              <w:rPr>
                <w:rFonts w:ascii="Segoe UI" w:eastAsia="宋体" w:hAnsi="Segoe UI" w:cs="Segoe UI"/>
                <w:b/>
                <w:bCs/>
                <w:color w:val="000000"/>
                <w:kern w:val="0"/>
                <w:sz w:val="18"/>
                <w:szCs w:val="18"/>
              </w:rPr>
              <w:t>B.</w:t>
            </w:r>
            <w:r w:rsidRPr="00157859">
              <w:rPr>
                <w:rFonts w:ascii="Segoe UI" w:eastAsia="宋体" w:hAnsi="Segoe UI" w:cs="Segoe UI"/>
                <w:color w:val="000000"/>
                <w:kern w:val="0"/>
                <w:sz w:val="18"/>
                <w:szCs w:val="18"/>
              </w:rPr>
              <w:t xml:space="preserve"> Improve market efficiency by lowering transaction costs</w:t>
            </w: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r>
      <w:tr w:rsidR="00157859" w:rsidRPr="00157859" w:rsidTr="00157859">
        <w:trPr>
          <w:trHeight w:val="525"/>
          <w:tblCellSpacing w:w="15" w:type="dxa"/>
        </w:trPr>
        <w:tc>
          <w:tcPr>
            <w:tcW w:w="375" w:type="dxa"/>
            <w:vAlign w:val="center"/>
            <w:hideMark/>
          </w:tcPr>
          <w:p w:rsidR="00157859" w:rsidRPr="00157859" w:rsidRDefault="00157859" w:rsidP="00157859">
            <w:pPr>
              <w:widowControl/>
              <w:jc w:val="left"/>
              <w:rPr>
                <w:rFonts w:ascii="Segoe UI" w:eastAsia="宋体" w:hAnsi="Segoe UI" w:cs="Segoe UI"/>
                <w:color w:val="333333"/>
                <w:kern w:val="0"/>
                <w:sz w:val="18"/>
                <w:szCs w:val="18"/>
              </w:rPr>
            </w:pPr>
            <w:r w:rsidRPr="0015785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57859" w:rsidRPr="00157859" w:rsidRDefault="00157859" w:rsidP="00157859">
            <w:pPr>
              <w:widowControl/>
              <w:jc w:val="center"/>
              <w:rPr>
                <w:rFonts w:ascii="Segoe UI" w:eastAsia="宋体" w:hAnsi="Segoe UI" w:cs="Segoe UI"/>
                <w:color w:val="000000"/>
                <w:kern w:val="0"/>
                <w:sz w:val="18"/>
                <w:szCs w:val="18"/>
              </w:rPr>
            </w:pPr>
            <w:r w:rsidRPr="00157859">
              <w:rPr>
                <w:rFonts w:ascii="Segoe UI" w:eastAsia="宋体" w:hAnsi="Segoe UI" w:cs="Segoe UI"/>
                <w:color w:val="000000"/>
                <w:kern w:val="0"/>
                <w:sz w:val="18"/>
                <w:szCs w:val="18"/>
              </w:rPr>
              <w:object w:dxaOrig="1440" w:dyaOrig="1440">
                <v:shape id="_x0000_i1298" type="#_x0000_t75" style="width:20.25pt;height:15.75pt" o:ole="">
                  <v:imagedata r:id="rId9" o:title=""/>
                </v:shape>
                <w:control r:id="rId92" w:name="DefaultOcxName226" w:shapeid="_x0000_i12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57859" w:rsidRPr="00157859" w:rsidRDefault="00157859" w:rsidP="00157859">
            <w:pPr>
              <w:widowControl/>
              <w:jc w:val="left"/>
              <w:rPr>
                <w:rFonts w:ascii="Segoe UI" w:eastAsia="宋体" w:hAnsi="Segoe UI" w:cs="Segoe UI"/>
                <w:color w:val="000000"/>
                <w:kern w:val="0"/>
                <w:sz w:val="18"/>
                <w:szCs w:val="18"/>
              </w:rPr>
            </w:pPr>
            <w:r w:rsidRPr="00157859">
              <w:rPr>
                <w:rFonts w:ascii="Segoe UI" w:eastAsia="宋体" w:hAnsi="Segoe UI" w:cs="Segoe UI"/>
                <w:b/>
                <w:bCs/>
                <w:color w:val="000000"/>
                <w:kern w:val="0"/>
                <w:sz w:val="18"/>
                <w:szCs w:val="18"/>
              </w:rPr>
              <w:t>C.</w:t>
            </w:r>
            <w:r w:rsidRPr="00157859">
              <w:rPr>
                <w:rFonts w:ascii="Segoe UI" w:eastAsia="宋体" w:hAnsi="Segoe UI" w:cs="Segoe UI"/>
                <w:color w:val="000000"/>
                <w:kern w:val="0"/>
                <w:sz w:val="18"/>
                <w:szCs w:val="18"/>
              </w:rPr>
              <w:t xml:space="preserve"> Enable companies to more easily practice risk management</w:t>
            </w: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c>
          <w:tcPr>
            <w:tcW w:w="0" w:type="auto"/>
            <w:vAlign w:val="center"/>
            <w:hideMark/>
          </w:tcPr>
          <w:p w:rsidR="00157859" w:rsidRPr="00157859" w:rsidRDefault="00157859" w:rsidP="00157859">
            <w:pPr>
              <w:widowControl/>
              <w:jc w:val="left"/>
              <w:rPr>
                <w:rFonts w:ascii="Times New Roman" w:eastAsia="Times New Roman" w:hAnsi="Times New Roman" w:cs="Times New Roman"/>
                <w:kern w:val="0"/>
                <w:sz w:val="20"/>
                <w:szCs w:val="20"/>
              </w:rPr>
            </w:pPr>
          </w:p>
        </w:tc>
      </w:tr>
      <w:tr w:rsidR="00157859" w:rsidRPr="00157859" w:rsidTr="00157859">
        <w:trPr>
          <w:trHeight w:val="525"/>
          <w:tblCellSpacing w:w="15" w:type="dxa"/>
        </w:trPr>
        <w:tc>
          <w:tcPr>
            <w:tcW w:w="375" w:type="dxa"/>
            <w:noWrap/>
            <w:vAlign w:val="center"/>
            <w:hideMark/>
          </w:tcPr>
          <w:p w:rsidR="00157859" w:rsidRPr="00157859" w:rsidRDefault="00157859" w:rsidP="00157859">
            <w:pPr>
              <w:widowControl/>
              <w:jc w:val="center"/>
              <w:rPr>
                <w:rFonts w:ascii="Segoe UI" w:eastAsia="宋体" w:hAnsi="Segoe UI" w:cs="Segoe UI"/>
                <w:color w:val="333333"/>
                <w:kern w:val="0"/>
                <w:sz w:val="18"/>
                <w:szCs w:val="18"/>
              </w:rPr>
            </w:pPr>
            <w:r w:rsidRPr="00157859">
              <w:rPr>
                <w:rFonts w:ascii="Segoe UI" w:eastAsia="宋体" w:hAnsi="Segoe UI" w:cs="Segoe UI"/>
                <w:color w:val="333333"/>
                <w:kern w:val="0"/>
                <w:sz w:val="18"/>
                <w:szCs w:val="18"/>
              </w:rPr>
              <w:t> </w:t>
            </w:r>
          </w:p>
        </w:tc>
        <w:tc>
          <w:tcPr>
            <w:tcW w:w="0" w:type="auto"/>
            <w:gridSpan w:val="5"/>
            <w:shd w:val="clear" w:color="auto" w:fill="FF6347"/>
            <w:vAlign w:val="center"/>
            <w:hideMark/>
          </w:tcPr>
          <w:p w:rsidR="00157859" w:rsidRPr="00157859" w:rsidRDefault="00157859" w:rsidP="00157859">
            <w:pPr>
              <w:widowControl/>
              <w:jc w:val="left"/>
              <w:rPr>
                <w:rFonts w:ascii="Segoe UI" w:eastAsia="宋体" w:hAnsi="Segoe UI" w:cs="Segoe UI"/>
                <w:color w:val="333333"/>
                <w:kern w:val="0"/>
                <w:sz w:val="18"/>
                <w:szCs w:val="18"/>
              </w:rPr>
            </w:pPr>
            <w:r w:rsidRPr="00157859">
              <w:rPr>
                <w:rFonts w:ascii="Segoe UI" w:eastAsia="宋体" w:hAnsi="Segoe UI" w:cs="Segoe UI"/>
                <w:b/>
                <w:bCs/>
                <w:color w:val="000080"/>
                <w:kern w:val="0"/>
                <w:sz w:val="16"/>
                <w:szCs w:val="16"/>
              </w:rPr>
              <w:t>Feedback:</w:t>
            </w:r>
            <w:r w:rsidRPr="00157859">
              <w:rPr>
                <w:rFonts w:ascii="Segoe UI" w:eastAsia="宋体" w:hAnsi="Segoe UI" w:cs="Segoe UI"/>
                <w:color w:val="333333"/>
                <w:kern w:val="0"/>
                <w:sz w:val="18"/>
                <w:szCs w:val="18"/>
              </w:rPr>
              <w:t xml:space="preserve"> You have answered incorrectly.</w:t>
            </w:r>
            <w:r w:rsidRPr="00157859">
              <w:rPr>
                <w:rFonts w:ascii="Segoe UI" w:eastAsia="宋体" w:hAnsi="Segoe UI" w:cs="Segoe UI"/>
                <w:color w:val="333333"/>
                <w:kern w:val="0"/>
                <w:sz w:val="18"/>
                <w:szCs w:val="18"/>
              </w:rPr>
              <w:br/>
            </w:r>
            <w:r w:rsidRPr="00157859">
              <w:rPr>
                <w:rFonts w:ascii="Segoe UI" w:eastAsia="宋体" w:hAnsi="Segoe UI" w:cs="Segoe UI"/>
                <w:color w:val="333333"/>
                <w:kern w:val="0"/>
                <w:sz w:val="18"/>
                <w:szCs w:val="18"/>
              </w:rPr>
              <w:br/>
              <w:t xml:space="preserve">Correct answer: </w:t>
            </w:r>
            <w:r w:rsidRPr="00157859">
              <w:rPr>
                <w:rFonts w:ascii="Segoe UI" w:eastAsia="宋体" w:hAnsi="Segoe UI" w:cs="Segoe UI"/>
                <w:b/>
                <w:bCs/>
                <w:color w:val="333333"/>
                <w:kern w:val="0"/>
                <w:sz w:val="18"/>
                <w:szCs w:val="18"/>
              </w:rPr>
              <w:t>B</w:t>
            </w:r>
            <w:r w:rsidRPr="00157859">
              <w:rPr>
                <w:rFonts w:ascii="Segoe UI" w:eastAsia="宋体" w:hAnsi="Segoe UI" w:cs="Segoe UI"/>
                <w:color w:val="333333"/>
                <w:kern w:val="0"/>
                <w:sz w:val="18"/>
                <w:szCs w:val="18"/>
              </w:rPr>
              <w:br/>
            </w:r>
            <w:r w:rsidRPr="00157859">
              <w:rPr>
                <w:rFonts w:ascii="Segoe UI" w:eastAsia="宋体" w:hAnsi="Segoe UI" w:cs="Segoe UI"/>
                <w:color w:val="333333"/>
                <w:kern w:val="0"/>
                <w:sz w:val="18"/>
                <w:szCs w:val="18"/>
              </w:rPr>
              <w:br/>
            </w:r>
            <w:r w:rsidRPr="00157859">
              <w:rPr>
                <w:rFonts w:ascii="Segoe UI" w:eastAsia="宋体" w:hAnsi="Segoe UI" w:cs="Segoe UI"/>
                <w:color w:val="333333"/>
                <w:kern w:val="0"/>
                <w:sz w:val="18"/>
                <w:szCs w:val="18"/>
              </w:rPr>
              <w:lastRenderedPageBreak/>
              <w:t>"Derivative Markets and Instruments," Don M. Chance</w:t>
            </w:r>
            <w:r w:rsidRPr="00157859">
              <w:rPr>
                <w:rFonts w:ascii="Segoe UI" w:eastAsia="宋体" w:hAnsi="Segoe UI" w:cs="Segoe UI"/>
                <w:color w:val="333333"/>
                <w:kern w:val="0"/>
                <w:sz w:val="18"/>
                <w:szCs w:val="18"/>
              </w:rPr>
              <w:br/>
              <w:t>2011 Modular Level I, Vol. 6, pp. 18–20</w:t>
            </w:r>
            <w:r w:rsidRPr="00157859">
              <w:rPr>
                <w:rFonts w:ascii="Segoe UI" w:eastAsia="宋体" w:hAnsi="Segoe UI" w:cs="Segoe UI"/>
                <w:color w:val="333333"/>
                <w:kern w:val="0"/>
                <w:sz w:val="18"/>
                <w:szCs w:val="18"/>
              </w:rPr>
              <w:br/>
              <w:t>Study Session 17–68–d</w:t>
            </w:r>
            <w:r w:rsidRPr="00157859">
              <w:rPr>
                <w:rFonts w:ascii="Segoe UI" w:eastAsia="宋体" w:hAnsi="Segoe UI" w:cs="Segoe UI"/>
                <w:color w:val="333333"/>
                <w:kern w:val="0"/>
                <w:sz w:val="18"/>
                <w:szCs w:val="18"/>
              </w:rPr>
              <w:br/>
              <w:t>Discuss the purposes and criticisms of derivative markets.</w:t>
            </w:r>
            <w:r w:rsidRPr="00157859">
              <w:rPr>
                <w:rFonts w:ascii="Segoe UI" w:eastAsia="宋体" w:hAnsi="Segoe UI" w:cs="Segoe UI"/>
                <w:color w:val="333333"/>
                <w:kern w:val="0"/>
                <w:sz w:val="18"/>
                <w:szCs w:val="18"/>
              </w:rPr>
              <w:br/>
            </w:r>
            <w:r w:rsidRPr="00157859">
              <w:rPr>
                <w:rFonts w:ascii="Segoe UI" w:eastAsia="宋体" w:hAnsi="Segoe UI" w:cs="Segoe UI"/>
                <w:color w:val="333333"/>
                <w:kern w:val="0"/>
                <w:sz w:val="18"/>
                <w:szCs w:val="18"/>
              </w:rPr>
              <w:br/>
              <w:t xml:space="preserve">Derivative markets improve market efficiency for the underlying assets by increasing market fairness and competitiveness, not by lowering transaction costs. </w:t>
            </w:r>
            <w:proofErr w:type="gramStart"/>
            <w:r w:rsidRPr="00157859">
              <w:rPr>
                <w:rFonts w:ascii="Segoe UI" w:eastAsia="宋体" w:hAnsi="Segoe UI" w:cs="Segoe UI"/>
                <w:color w:val="333333"/>
                <w:kern w:val="0"/>
                <w:sz w:val="18"/>
                <w:szCs w:val="18"/>
              </w:rPr>
              <w:t>Lower transaction costs is</w:t>
            </w:r>
            <w:proofErr w:type="gramEnd"/>
            <w:r w:rsidRPr="00157859">
              <w:rPr>
                <w:rFonts w:ascii="Segoe UI" w:eastAsia="宋体" w:hAnsi="Segoe UI" w:cs="Segoe UI"/>
                <w:color w:val="333333"/>
                <w:kern w:val="0"/>
                <w:sz w:val="18"/>
                <w:szCs w:val="18"/>
              </w:rPr>
              <w:t xml:space="preserve"> a characteristic of derivative markets that is required for them to exist, not a purpose for derivative markets. </w:t>
            </w:r>
          </w:p>
        </w:tc>
      </w:tr>
    </w:tbl>
    <w:p w:rsidR="00157859" w:rsidRDefault="00157859">
      <w:pPr>
        <w:rPr>
          <w:rFonts w:hint="eastAsia"/>
        </w:rPr>
      </w:pPr>
    </w:p>
    <w:tbl>
      <w:tblPr>
        <w:tblW w:w="5000" w:type="pct"/>
        <w:tblCellSpacing w:w="15" w:type="dxa"/>
        <w:tblCellMar>
          <w:top w:w="30" w:type="dxa"/>
          <w:left w:w="30" w:type="dxa"/>
          <w:bottom w:w="30" w:type="dxa"/>
          <w:right w:w="30" w:type="dxa"/>
        </w:tblCellMar>
        <w:tblLook w:val="04A0"/>
      </w:tblPr>
      <w:tblGrid>
        <w:gridCol w:w="420"/>
        <w:gridCol w:w="771"/>
        <w:gridCol w:w="6962"/>
        <w:gridCol w:w="96"/>
        <w:gridCol w:w="96"/>
        <w:gridCol w:w="111"/>
      </w:tblGrid>
      <w:tr w:rsidR="00EB42B0" w:rsidRPr="00EB42B0" w:rsidTr="00EB42B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EB42B0" w:rsidRPr="00EB42B0" w:rsidRDefault="00EB42B0" w:rsidP="00EB42B0">
            <w:pPr>
              <w:widowControl/>
              <w:jc w:val="left"/>
              <w:rPr>
                <w:rFonts w:ascii="Segoe UI" w:eastAsia="宋体" w:hAnsi="Segoe UI" w:cs="Segoe UI"/>
                <w:b/>
                <w:bCs/>
                <w:color w:val="000000"/>
                <w:kern w:val="0"/>
                <w:sz w:val="18"/>
                <w:szCs w:val="18"/>
              </w:rPr>
            </w:pPr>
            <w:r w:rsidRPr="00EB42B0">
              <w:rPr>
                <w:rFonts w:ascii="Segoe UI" w:eastAsia="宋体" w:hAnsi="Segoe UI" w:cs="Segoe UI"/>
                <w:b/>
                <w:bCs/>
                <w:color w:val="000000"/>
                <w:kern w:val="0"/>
                <w:sz w:val="18"/>
                <w:szCs w:val="18"/>
              </w:rPr>
              <w:t>47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A futures trader takes a long position of 10 contracts. The initial margin requirement is $10 per contract and the maintenance margin requirement is $7 per contract. She deposits the required initial margin on the trade date. On Day 3, her margin account balance is $40. What is the variation margin on Day 4?</w:t>
            </w: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09" type="#_x0000_t75" style="width:20.25pt;height:15.75pt" o:ole="">
                  <v:imagedata r:id="rId7" o:title=""/>
                </v:shape>
                <w:control r:id="rId93" w:name="DefaultOcxName47" w:shapeid="_x0000_i130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A.</w:t>
            </w:r>
            <w:r w:rsidRPr="00EB42B0">
              <w:rPr>
                <w:rFonts w:ascii="Segoe UI" w:eastAsia="宋体" w:hAnsi="Segoe UI" w:cs="Segoe UI"/>
                <w:color w:val="000000"/>
                <w:kern w:val="0"/>
                <w:sz w:val="18"/>
                <w:szCs w:val="18"/>
              </w:rPr>
              <w:t xml:space="preserve"> $30</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08" type="#_x0000_t75" style="width:20.25pt;height:15.75pt" o:ole="">
                  <v:imagedata r:id="rId9" o:title=""/>
                </v:shape>
                <w:control r:id="rId94" w:name="DefaultOcxName127" w:shapeid="_x0000_i130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B.</w:t>
            </w:r>
            <w:r w:rsidRPr="00EB42B0">
              <w:rPr>
                <w:rFonts w:ascii="Segoe UI" w:eastAsia="宋体" w:hAnsi="Segoe UI" w:cs="Segoe UI"/>
                <w:color w:val="000000"/>
                <w:kern w:val="0"/>
                <w:sz w:val="18"/>
                <w:szCs w:val="18"/>
              </w:rPr>
              <w:t xml:space="preserve"> $60</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07" type="#_x0000_t75" style="width:20.25pt;height:15.75pt" o:ole="">
                  <v:imagedata r:id="rId9" o:title=""/>
                </v:shape>
                <w:control r:id="rId95" w:name="DefaultOcxName227" w:shapeid="_x0000_i13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C.</w:t>
            </w:r>
            <w:r w:rsidRPr="00EB42B0">
              <w:rPr>
                <w:rFonts w:ascii="Segoe UI" w:eastAsia="宋体" w:hAnsi="Segoe UI" w:cs="Segoe UI"/>
                <w:color w:val="000000"/>
                <w:kern w:val="0"/>
                <w:sz w:val="18"/>
                <w:szCs w:val="18"/>
              </w:rPr>
              <w:t xml:space="preserve"> $100</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noWrap/>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0" w:type="auto"/>
            <w:gridSpan w:val="5"/>
            <w:shd w:val="clear" w:color="auto" w:fill="FF6347"/>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b/>
                <w:bCs/>
                <w:color w:val="000080"/>
                <w:kern w:val="0"/>
                <w:sz w:val="16"/>
                <w:szCs w:val="16"/>
              </w:rPr>
              <w:t>Feedback:</w:t>
            </w:r>
            <w:r w:rsidRPr="00EB42B0">
              <w:rPr>
                <w:rFonts w:ascii="Segoe UI" w:eastAsia="宋体" w:hAnsi="Segoe UI" w:cs="Segoe UI"/>
                <w:color w:val="333333"/>
                <w:kern w:val="0"/>
                <w:sz w:val="18"/>
                <w:szCs w:val="18"/>
              </w:rPr>
              <w:t xml:space="preserve"> You have answered incorrectly.</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 xml:space="preserve">Correct answer: </w:t>
            </w:r>
            <w:r w:rsidRPr="00EB42B0">
              <w:rPr>
                <w:rFonts w:ascii="Segoe UI" w:eastAsia="宋体" w:hAnsi="Segoe UI" w:cs="Segoe UI"/>
                <w:b/>
                <w:bCs/>
                <w:color w:val="333333"/>
                <w:kern w:val="0"/>
                <w:sz w:val="18"/>
                <w:szCs w:val="18"/>
              </w:rPr>
              <w:t>B</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"Futures Markets and Contracts," Don M. Chance</w:t>
            </w:r>
            <w:r w:rsidRPr="00EB42B0">
              <w:rPr>
                <w:rFonts w:ascii="Segoe UI" w:eastAsia="宋体" w:hAnsi="Segoe UI" w:cs="Segoe UI"/>
                <w:color w:val="333333"/>
                <w:kern w:val="0"/>
                <w:sz w:val="18"/>
                <w:szCs w:val="18"/>
              </w:rPr>
              <w:br/>
              <w:t>2011 Modular Level I, Vol. 6, pp. 55–59</w:t>
            </w:r>
            <w:r w:rsidRPr="00EB42B0">
              <w:rPr>
                <w:rFonts w:ascii="Segoe UI" w:eastAsia="宋体" w:hAnsi="Segoe UI" w:cs="Segoe UI"/>
                <w:color w:val="333333"/>
                <w:kern w:val="0"/>
                <w:sz w:val="18"/>
                <w:szCs w:val="18"/>
              </w:rPr>
              <w:br/>
              <w:t>Study Session 17–70–c</w:t>
            </w:r>
            <w:r w:rsidRPr="00EB42B0">
              <w:rPr>
                <w:rFonts w:ascii="Segoe UI" w:eastAsia="宋体" w:hAnsi="Segoe UI" w:cs="Segoe UI"/>
                <w:color w:val="333333"/>
                <w:kern w:val="0"/>
                <w:sz w:val="18"/>
                <w:szCs w:val="18"/>
              </w:rPr>
              <w:br/>
              <w:t>Differentiate between margin in the securities markets and margin in the futures markets, and explain the role of initial margin, maintenance margin, variation margin, and settlement in futures trading.</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On any day when the balance in the margin account falls below the maintenance margin, the trader must deposit sufficient funds to bring the balance back up to the initial margin requirement. This additional amount is called the variation margin. Therefore, $100 – $40 = $60 variation margin. </w:t>
            </w:r>
          </w:p>
        </w:tc>
      </w:tr>
    </w:tbl>
    <w:p w:rsidR="00EB42B0" w:rsidRDefault="00EB42B0">
      <w:pPr>
        <w:rPr>
          <w:rFonts w:hint="eastAsia"/>
        </w:rPr>
      </w:pPr>
    </w:p>
    <w:tbl>
      <w:tblPr>
        <w:tblW w:w="5000" w:type="pct"/>
        <w:tblCellSpacing w:w="15" w:type="dxa"/>
        <w:tblCellMar>
          <w:top w:w="30" w:type="dxa"/>
          <w:left w:w="30" w:type="dxa"/>
          <w:bottom w:w="30" w:type="dxa"/>
          <w:right w:w="30" w:type="dxa"/>
        </w:tblCellMar>
        <w:tblLook w:val="04A0"/>
      </w:tblPr>
      <w:tblGrid>
        <w:gridCol w:w="420"/>
        <w:gridCol w:w="751"/>
        <w:gridCol w:w="6982"/>
        <w:gridCol w:w="96"/>
        <w:gridCol w:w="96"/>
        <w:gridCol w:w="111"/>
      </w:tblGrid>
      <w:tr w:rsidR="00EB42B0" w:rsidRPr="00EB42B0" w:rsidTr="00EB42B0">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EB42B0" w:rsidRPr="00EB42B0" w:rsidRDefault="00EB42B0" w:rsidP="00EB42B0">
            <w:pPr>
              <w:widowControl/>
              <w:jc w:val="left"/>
              <w:rPr>
                <w:rFonts w:ascii="Segoe UI" w:eastAsia="宋体" w:hAnsi="Segoe UI" w:cs="Segoe UI"/>
                <w:b/>
                <w:bCs/>
                <w:color w:val="000000"/>
                <w:kern w:val="0"/>
                <w:sz w:val="18"/>
                <w:szCs w:val="18"/>
              </w:rPr>
            </w:pPr>
            <w:r w:rsidRPr="00EB42B0">
              <w:rPr>
                <w:rFonts w:ascii="Segoe UI" w:eastAsia="宋体" w:hAnsi="Segoe UI" w:cs="Segoe UI"/>
                <w:b/>
                <w:bCs/>
                <w:color w:val="000000"/>
                <w:kern w:val="0"/>
                <w:sz w:val="18"/>
                <w:szCs w:val="18"/>
              </w:rPr>
              <w:t>48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A portfolio manager enters into an equity swap with a swap dealer. The portfolio manager pays the return on the Value index and, in return, receives the return on the Growth index. The swap’s notional principal is $50 million and the payments will be made semiannually. The levels of the equity indices are as follows:</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13"/>
              <w:gridCol w:w="2918"/>
              <w:gridCol w:w="3054"/>
            </w:tblGrid>
            <w:tr w:rsidR="00EB42B0" w:rsidRPr="00EB42B0">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Index</w:t>
                  </w:r>
                </w:p>
              </w:tc>
              <w:tc>
                <w:tcPr>
                  <w:tcW w:w="2505"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b/>
                      <w:bCs/>
                      <w:color w:val="333333"/>
                      <w:kern w:val="0"/>
                      <w:sz w:val="18"/>
                      <w:szCs w:val="18"/>
                    </w:rPr>
                    <w:t>Level at Start of Swap</w:t>
                  </w:r>
                </w:p>
              </w:tc>
              <w:tc>
                <w:tcPr>
                  <w:tcW w:w="261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b/>
                      <w:bCs/>
                      <w:color w:val="333333"/>
                      <w:kern w:val="0"/>
                      <w:sz w:val="18"/>
                      <w:szCs w:val="18"/>
                    </w:rPr>
                    <w:t>Level 6 Months Later</w:t>
                  </w:r>
                </w:p>
              </w:tc>
            </w:tr>
            <w:tr w:rsidR="00EB42B0" w:rsidRPr="00EB42B0">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lastRenderedPageBreak/>
                    <w:t>Value Index</w:t>
                  </w:r>
                </w:p>
              </w:tc>
              <w:tc>
                <w:tcPr>
                  <w:tcW w:w="2505"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5,460</w:t>
                  </w:r>
                </w:p>
              </w:tc>
              <w:tc>
                <w:tcPr>
                  <w:tcW w:w="261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5,350</w:t>
                  </w:r>
                </w:p>
              </w:tc>
            </w:tr>
            <w:tr w:rsidR="00EB42B0" w:rsidRPr="00EB42B0">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Growth Index</w:t>
                  </w:r>
                </w:p>
              </w:tc>
              <w:tc>
                <w:tcPr>
                  <w:tcW w:w="2505"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1,190</w:t>
                  </w:r>
                </w:p>
              </w:tc>
              <w:tc>
                <w:tcPr>
                  <w:tcW w:w="2610" w:type="dxa"/>
                  <w:tcBorders>
                    <w:top w:val="outset" w:sz="6" w:space="0" w:color="auto"/>
                    <w:left w:val="outset" w:sz="6" w:space="0" w:color="auto"/>
                    <w:bottom w:val="outset" w:sz="6" w:space="0" w:color="auto"/>
                    <w:right w:val="outset" w:sz="6" w:space="0" w:color="auto"/>
                  </w:tcBorders>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1,200</w:t>
                  </w:r>
                </w:p>
              </w:tc>
            </w:tr>
          </w:tbl>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br/>
              <w:t xml:space="preserve">The net payment due after 6 months is </w:t>
            </w:r>
            <w:r w:rsidRPr="00EB42B0">
              <w:rPr>
                <w:rFonts w:ascii="Segoe UI" w:eastAsia="宋体" w:hAnsi="Segoe UI" w:cs="Segoe UI"/>
                <w:i/>
                <w:iCs/>
                <w:color w:val="333333"/>
                <w:kern w:val="0"/>
                <w:sz w:val="18"/>
                <w:szCs w:val="18"/>
              </w:rPr>
              <w:t>closest</w:t>
            </w:r>
            <w:r w:rsidRPr="00EB42B0">
              <w:rPr>
                <w:rFonts w:ascii="Segoe UI" w:eastAsia="宋体" w:hAnsi="Segoe UI" w:cs="Segoe UI"/>
                <w:color w:val="333333"/>
                <w:kern w:val="0"/>
                <w:sz w:val="18"/>
                <w:szCs w:val="18"/>
              </w:rPr>
              <w:t xml:space="preserve"> to:</w:t>
            </w: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18" type="#_x0000_t75" style="width:20.25pt;height:15.75pt" o:ole="">
                  <v:imagedata r:id="rId7" o:title=""/>
                </v:shape>
                <w:control r:id="rId96" w:name="DefaultOcxName48" w:shapeid="_x0000_i131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A.</w:t>
            </w:r>
            <w:r w:rsidRPr="00EB42B0">
              <w:rPr>
                <w:rFonts w:ascii="Segoe UI" w:eastAsia="宋体" w:hAnsi="Segoe UI" w:cs="Segoe UI"/>
                <w:color w:val="000000"/>
                <w:kern w:val="0"/>
                <w:sz w:val="18"/>
                <w:szCs w:val="18"/>
              </w:rPr>
              <w:t xml:space="preserve"> $587,158.</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17" type="#_x0000_t75" style="width:20.25pt;height:15.75pt" o:ole="">
                  <v:imagedata r:id="rId9" o:title=""/>
                </v:shape>
                <w:control r:id="rId97" w:name="DefaultOcxName128" w:shapeid="_x0000_i131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B.</w:t>
            </w:r>
            <w:r w:rsidRPr="00EB42B0">
              <w:rPr>
                <w:rFonts w:ascii="Segoe UI" w:eastAsia="宋体" w:hAnsi="Segoe UI" w:cs="Segoe UI"/>
                <w:color w:val="000000"/>
                <w:kern w:val="0"/>
                <w:sz w:val="18"/>
                <w:szCs w:val="18"/>
              </w:rPr>
              <w:t xml:space="preserve"> $1,007,326.</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EB42B0" w:rsidRPr="00EB42B0" w:rsidRDefault="00EB42B0" w:rsidP="00EB42B0">
            <w:pPr>
              <w:widowControl/>
              <w:jc w:val="center"/>
              <w:rPr>
                <w:rFonts w:ascii="Segoe UI" w:eastAsia="宋体" w:hAnsi="Segoe UI" w:cs="Segoe UI"/>
                <w:color w:val="000000"/>
                <w:kern w:val="0"/>
                <w:sz w:val="18"/>
                <w:szCs w:val="18"/>
              </w:rPr>
            </w:pPr>
            <w:r w:rsidRPr="00EB42B0">
              <w:rPr>
                <w:rFonts w:ascii="Segoe UI" w:eastAsia="宋体" w:hAnsi="Segoe UI" w:cs="Segoe UI"/>
                <w:color w:val="000000"/>
                <w:kern w:val="0"/>
                <w:sz w:val="18"/>
                <w:szCs w:val="18"/>
              </w:rPr>
              <w:object w:dxaOrig="1440" w:dyaOrig="1440">
                <v:shape id="_x0000_i1316" type="#_x0000_t75" style="width:20.25pt;height:15.75pt" o:ole="">
                  <v:imagedata r:id="rId9" o:title=""/>
                </v:shape>
                <w:control r:id="rId98" w:name="DefaultOcxName228" w:shapeid="_x0000_i131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EB42B0" w:rsidRPr="00EB42B0" w:rsidRDefault="00EB42B0" w:rsidP="00EB42B0">
            <w:pPr>
              <w:widowControl/>
              <w:jc w:val="left"/>
              <w:rPr>
                <w:rFonts w:ascii="Segoe UI" w:eastAsia="宋体" w:hAnsi="Segoe UI" w:cs="Segoe UI"/>
                <w:color w:val="000000"/>
                <w:kern w:val="0"/>
                <w:sz w:val="18"/>
                <w:szCs w:val="18"/>
              </w:rPr>
            </w:pPr>
            <w:r w:rsidRPr="00EB42B0">
              <w:rPr>
                <w:rFonts w:ascii="Segoe UI" w:eastAsia="宋体" w:hAnsi="Segoe UI" w:cs="Segoe UI"/>
                <w:b/>
                <w:bCs/>
                <w:color w:val="000000"/>
                <w:kern w:val="0"/>
                <w:sz w:val="18"/>
                <w:szCs w:val="18"/>
              </w:rPr>
              <w:t>C.</w:t>
            </w:r>
            <w:r w:rsidRPr="00EB42B0">
              <w:rPr>
                <w:rFonts w:ascii="Segoe UI" w:eastAsia="宋体" w:hAnsi="Segoe UI" w:cs="Segoe UI"/>
                <w:color w:val="000000"/>
                <w:kern w:val="0"/>
                <w:sz w:val="18"/>
                <w:szCs w:val="18"/>
              </w:rPr>
              <w:t xml:space="preserve"> $1,427,494.</w:t>
            </w: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c>
          <w:tcPr>
            <w:tcW w:w="0" w:type="auto"/>
            <w:vAlign w:val="center"/>
            <w:hideMark/>
          </w:tcPr>
          <w:p w:rsidR="00EB42B0" w:rsidRPr="00EB42B0" w:rsidRDefault="00EB42B0" w:rsidP="00EB42B0">
            <w:pPr>
              <w:widowControl/>
              <w:jc w:val="left"/>
              <w:rPr>
                <w:rFonts w:ascii="Times New Roman" w:eastAsia="Times New Roman" w:hAnsi="Times New Roman" w:cs="Times New Roman"/>
                <w:kern w:val="0"/>
                <w:sz w:val="20"/>
                <w:szCs w:val="20"/>
              </w:rPr>
            </w:pPr>
          </w:p>
        </w:tc>
      </w:tr>
      <w:tr w:rsidR="00EB42B0" w:rsidRPr="00EB42B0" w:rsidTr="00EB42B0">
        <w:trPr>
          <w:trHeight w:val="525"/>
          <w:tblCellSpacing w:w="15" w:type="dxa"/>
        </w:trPr>
        <w:tc>
          <w:tcPr>
            <w:tcW w:w="375" w:type="dxa"/>
            <w:noWrap/>
            <w:vAlign w:val="center"/>
            <w:hideMark/>
          </w:tcPr>
          <w:p w:rsidR="00EB42B0" w:rsidRPr="00EB42B0" w:rsidRDefault="00EB42B0" w:rsidP="00EB42B0">
            <w:pPr>
              <w:widowControl/>
              <w:jc w:val="center"/>
              <w:rPr>
                <w:rFonts w:ascii="Segoe UI" w:eastAsia="宋体" w:hAnsi="Segoe UI" w:cs="Segoe UI"/>
                <w:color w:val="333333"/>
                <w:kern w:val="0"/>
                <w:sz w:val="18"/>
                <w:szCs w:val="18"/>
              </w:rPr>
            </w:pPr>
            <w:r w:rsidRPr="00EB42B0">
              <w:rPr>
                <w:rFonts w:ascii="Segoe UI" w:eastAsia="宋体" w:hAnsi="Segoe UI" w:cs="Segoe UI"/>
                <w:color w:val="333333"/>
                <w:kern w:val="0"/>
                <w:sz w:val="18"/>
                <w:szCs w:val="18"/>
              </w:rPr>
              <w:t> </w:t>
            </w:r>
          </w:p>
        </w:tc>
        <w:tc>
          <w:tcPr>
            <w:tcW w:w="0" w:type="auto"/>
            <w:gridSpan w:val="5"/>
            <w:shd w:val="clear" w:color="auto" w:fill="FF6347"/>
            <w:vAlign w:val="center"/>
            <w:hideMark/>
          </w:tcPr>
          <w:p w:rsidR="00EB42B0" w:rsidRPr="00EB42B0" w:rsidRDefault="00EB42B0" w:rsidP="00EB42B0">
            <w:pPr>
              <w:widowControl/>
              <w:jc w:val="left"/>
              <w:rPr>
                <w:rFonts w:ascii="Segoe UI" w:eastAsia="宋体" w:hAnsi="Segoe UI" w:cs="Segoe UI"/>
                <w:color w:val="333333"/>
                <w:kern w:val="0"/>
                <w:sz w:val="18"/>
                <w:szCs w:val="18"/>
              </w:rPr>
            </w:pPr>
            <w:r w:rsidRPr="00EB42B0">
              <w:rPr>
                <w:rFonts w:ascii="Segoe UI" w:eastAsia="宋体" w:hAnsi="Segoe UI" w:cs="Segoe UI"/>
                <w:b/>
                <w:bCs/>
                <w:color w:val="000080"/>
                <w:kern w:val="0"/>
                <w:sz w:val="16"/>
                <w:szCs w:val="16"/>
              </w:rPr>
              <w:t>Feedback:</w:t>
            </w:r>
            <w:r w:rsidRPr="00EB42B0">
              <w:rPr>
                <w:rFonts w:ascii="Segoe UI" w:eastAsia="宋体" w:hAnsi="Segoe UI" w:cs="Segoe UI"/>
                <w:color w:val="333333"/>
                <w:kern w:val="0"/>
                <w:sz w:val="18"/>
                <w:szCs w:val="18"/>
              </w:rPr>
              <w:t xml:space="preserve"> You have answered incorrectly.</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 xml:space="preserve">Correct answer: </w:t>
            </w:r>
            <w:r w:rsidRPr="00EB42B0">
              <w:rPr>
                <w:rFonts w:ascii="Segoe UI" w:eastAsia="宋体" w:hAnsi="Segoe UI" w:cs="Segoe UI"/>
                <w:b/>
                <w:bCs/>
                <w:color w:val="333333"/>
                <w:kern w:val="0"/>
                <w:sz w:val="18"/>
                <w:szCs w:val="18"/>
              </w:rPr>
              <w:t>C</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"Swap Markets and Contracts," Don M. Chance</w:t>
            </w:r>
            <w:r w:rsidRPr="00EB42B0">
              <w:rPr>
                <w:rFonts w:ascii="Segoe UI" w:eastAsia="宋体" w:hAnsi="Segoe UI" w:cs="Segoe UI"/>
                <w:color w:val="333333"/>
                <w:kern w:val="0"/>
                <w:sz w:val="18"/>
                <w:szCs w:val="18"/>
              </w:rPr>
              <w:br/>
              <w:t>2011 Modular Level I, Vol. 6, pp. 144–147</w:t>
            </w:r>
            <w:r w:rsidRPr="00EB42B0">
              <w:rPr>
                <w:rFonts w:ascii="Segoe UI" w:eastAsia="宋体" w:hAnsi="Segoe UI" w:cs="Segoe UI"/>
                <w:color w:val="333333"/>
                <w:kern w:val="0"/>
                <w:sz w:val="18"/>
                <w:szCs w:val="18"/>
              </w:rPr>
              <w:br/>
              <w:t>Study Session 17–72–b</w:t>
            </w:r>
            <w:r w:rsidRPr="00EB42B0">
              <w:rPr>
                <w:rFonts w:ascii="Segoe UI" w:eastAsia="宋体" w:hAnsi="Segoe UI" w:cs="Segoe UI"/>
                <w:color w:val="333333"/>
                <w:kern w:val="0"/>
                <w:sz w:val="18"/>
                <w:szCs w:val="18"/>
              </w:rPr>
              <w:br/>
              <w:t>Define, calculate, and interpret the payment of currency swaps, plain vanilla interest rate swaps, and equity swaps.</w:t>
            </w:r>
            <w:r w:rsidRPr="00EB42B0">
              <w:rPr>
                <w:rFonts w:ascii="Segoe UI" w:eastAsia="宋体" w:hAnsi="Segoe UI" w:cs="Segoe UI"/>
                <w:color w:val="333333"/>
                <w:kern w:val="0"/>
                <w:sz w:val="18"/>
                <w:szCs w:val="18"/>
              </w:rPr>
              <w:br/>
            </w:r>
            <w:r w:rsidRPr="00EB42B0">
              <w:rPr>
                <w:rFonts w:ascii="Segoe UI" w:eastAsia="宋体" w:hAnsi="Segoe UI" w:cs="Segoe UI"/>
                <w:color w:val="333333"/>
                <w:kern w:val="0"/>
                <w:sz w:val="18"/>
                <w:szCs w:val="18"/>
              </w:rPr>
              <w:br/>
              <w:t>The portfolio manager pays the Value Index return, which had a loss, and receives the Growth Index, which had a gain during the period. Therefore, the portfolio manager will receive a cash flow from the swap dealer.</w:t>
            </w:r>
            <w:r w:rsidRPr="00EB42B0">
              <w:rPr>
                <w:rFonts w:ascii="Segoe UI" w:eastAsia="宋体" w:hAnsi="Segoe UI" w:cs="Segoe UI"/>
                <w:color w:val="333333"/>
                <w:kern w:val="0"/>
                <w:sz w:val="18"/>
                <w:szCs w:val="18"/>
              </w:rPr>
              <w:br/>
              <w:t>Value Index payment: [(5,350 / 5,460) – 1] × $50,000,000 = $(1,007,326)</w:t>
            </w:r>
            <w:r w:rsidRPr="00EB42B0">
              <w:rPr>
                <w:rFonts w:ascii="Segoe UI" w:eastAsia="宋体" w:hAnsi="Segoe UI" w:cs="Segoe UI"/>
                <w:color w:val="333333"/>
                <w:kern w:val="0"/>
                <w:sz w:val="18"/>
                <w:szCs w:val="18"/>
              </w:rPr>
              <w:br/>
              <w:t>Growth Index payment: [(1,200 / 1,190) –1] × $50,000,000 = $420,168</w:t>
            </w:r>
            <w:r w:rsidRPr="00EB42B0">
              <w:rPr>
                <w:rFonts w:ascii="Segoe UI" w:eastAsia="宋体" w:hAnsi="Segoe UI" w:cs="Segoe UI"/>
                <w:color w:val="333333"/>
                <w:kern w:val="0"/>
                <w:sz w:val="18"/>
                <w:szCs w:val="18"/>
              </w:rPr>
              <w:br/>
              <w:t>Net payment to portfolio manager = $420,168 – $(1,007,326) = $1,427,494 </w:t>
            </w:r>
          </w:p>
        </w:tc>
      </w:tr>
    </w:tbl>
    <w:p w:rsidR="00EB42B0" w:rsidRDefault="00EB42B0">
      <w:pPr>
        <w:rPr>
          <w:rFonts w:hint="eastAsia"/>
        </w:rPr>
      </w:pPr>
    </w:p>
    <w:tbl>
      <w:tblPr>
        <w:tblW w:w="5000" w:type="pct"/>
        <w:tblCellSpacing w:w="15" w:type="dxa"/>
        <w:tblCellMar>
          <w:top w:w="30" w:type="dxa"/>
          <w:left w:w="30" w:type="dxa"/>
          <w:bottom w:w="30" w:type="dxa"/>
          <w:right w:w="30" w:type="dxa"/>
        </w:tblCellMar>
        <w:tblLook w:val="04A0"/>
      </w:tblPr>
      <w:tblGrid>
        <w:gridCol w:w="420"/>
        <w:gridCol w:w="666"/>
        <w:gridCol w:w="7067"/>
        <w:gridCol w:w="96"/>
        <w:gridCol w:w="96"/>
        <w:gridCol w:w="111"/>
      </w:tblGrid>
      <w:tr w:rsidR="00443ED6" w:rsidRPr="00443ED6" w:rsidTr="00443ED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43ED6" w:rsidRPr="00443ED6" w:rsidRDefault="00443ED6" w:rsidP="00443ED6">
            <w:pPr>
              <w:widowControl/>
              <w:jc w:val="left"/>
              <w:rPr>
                <w:rFonts w:ascii="Segoe UI" w:eastAsia="宋体" w:hAnsi="Segoe UI" w:cs="Segoe UI"/>
                <w:b/>
                <w:bCs/>
                <w:color w:val="000000"/>
                <w:kern w:val="0"/>
                <w:sz w:val="18"/>
                <w:szCs w:val="18"/>
              </w:rPr>
            </w:pPr>
            <w:r w:rsidRPr="00443ED6">
              <w:rPr>
                <w:rFonts w:ascii="Segoe UI" w:eastAsia="宋体" w:hAnsi="Segoe UI" w:cs="Segoe UI"/>
                <w:b/>
                <w:bCs/>
                <w:color w:val="000000"/>
                <w:kern w:val="0"/>
                <w:sz w:val="18"/>
                <w:szCs w:val="18"/>
              </w:rPr>
              <w:t>49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xml:space="preserve">A mutual fund with a 2.0 percent sales charge and 0.75 percent annual expense, earns 6.0 percent annually for 4 years. At the end of year 4, the NAV calculation </w:t>
            </w:r>
            <w:r w:rsidRPr="00443ED6">
              <w:rPr>
                <w:rFonts w:ascii="Segoe UI" w:eastAsia="宋体" w:hAnsi="Segoe UI" w:cs="Segoe UI"/>
                <w:i/>
                <w:iCs/>
                <w:color w:val="333333"/>
                <w:kern w:val="0"/>
                <w:sz w:val="18"/>
                <w:szCs w:val="18"/>
              </w:rPr>
              <w:t>most likely</w:t>
            </w:r>
            <w:r w:rsidRPr="00443ED6">
              <w:rPr>
                <w:rFonts w:ascii="Segoe UI" w:eastAsia="宋体" w:hAnsi="Segoe UI" w:cs="Segoe UI"/>
                <w:color w:val="333333"/>
                <w:kern w:val="0"/>
                <w:sz w:val="18"/>
                <w:szCs w:val="18"/>
              </w:rPr>
              <w:t xml:space="preserve"> reflects:</w:t>
            </w: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27" type="#_x0000_t75" style="width:20.25pt;height:15.75pt" o:ole="">
                  <v:imagedata r:id="rId7" o:title=""/>
                </v:shape>
                <w:control r:id="rId99" w:name="DefaultOcxName49" w:shapeid="_x0000_i132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A.</w:t>
            </w:r>
            <w:r w:rsidRPr="00443ED6">
              <w:rPr>
                <w:rFonts w:ascii="Segoe UI" w:eastAsia="宋体" w:hAnsi="Segoe UI" w:cs="Segoe UI"/>
                <w:color w:val="000000"/>
                <w:kern w:val="0"/>
                <w:sz w:val="18"/>
                <w:szCs w:val="18"/>
              </w:rPr>
              <w:t xml:space="preserve"> a deduction of the sales charge and annual expenses at </w:t>
            </w:r>
            <w:r w:rsidRPr="00443ED6">
              <w:rPr>
                <w:rFonts w:ascii="Segoe UI" w:eastAsia="宋体" w:hAnsi="Segoe UI" w:cs="Segoe UI"/>
                <w:i/>
                <w:iCs/>
                <w:color w:val="000000"/>
                <w:kern w:val="0"/>
                <w:sz w:val="18"/>
                <w:szCs w:val="18"/>
              </w:rPr>
              <w:t>t</w:t>
            </w:r>
            <w:r w:rsidRPr="00443ED6">
              <w:rPr>
                <w:rFonts w:ascii="Segoe UI" w:eastAsia="宋体" w:hAnsi="Segoe UI" w:cs="Segoe UI"/>
                <w:color w:val="000000"/>
                <w:kern w:val="0"/>
                <w:sz w:val="18"/>
                <w:szCs w:val="18"/>
              </w:rPr>
              <w:t xml:space="preserve"> = 0.</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26" type="#_x0000_t75" style="width:20.25pt;height:15.75pt" o:ole="">
                  <v:imagedata r:id="rId9" o:title=""/>
                </v:shape>
                <w:control r:id="rId100" w:name="DefaultOcxName129" w:shapeid="_x0000_i132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B.</w:t>
            </w:r>
            <w:r w:rsidRPr="00443ED6">
              <w:rPr>
                <w:rFonts w:ascii="Segoe UI" w:eastAsia="宋体" w:hAnsi="Segoe UI" w:cs="Segoe UI"/>
                <w:color w:val="000000"/>
                <w:kern w:val="0"/>
                <w:sz w:val="18"/>
                <w:szCs w:val="18"/>
              </w:rPr>
              <w:t xml:space="preserve"> the compounded return, net of expenses, after deducting the sales charge at </w:t>
            </w:r>
            <w:r w:rsidRPr="00443ED6">
              <w:rPr>
                <w:rFonts w:ascii="Segoe UI" w:eastAsia="宋体" w:hAnsi="Segoe UI" w:cs="Segoe UI"/>
                <w:i/>
                <w:iCs/>
                <w:color w:val="000000"/>
                <w:kern w:val="0"/>
                <w:sz w:val="18"/>
                <w:szCs w:val="18"/>
              </w:rPr>
              <w:t>t</w:t>
            </w:r>
            <w:r w:rsidRPr="00443ED6">
              <w:rPr>
                <w:rFonts w:ascii="Segoe UI" w:eastAsia="宋体" w:hAnsi="Segoe UI" w:cs="Segoe UI"/>
                <w:color w:val="000000"/>
                <w:kern w:val="0"/>
                <w:sz w:val="18"/>
                <w:szCs w:val="18"/>
              </w:rPr>
              <w:t xml:space="preserve"> = 0.</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25" type="#_x0000_t75" style="width:20.25pt;height:15.75pt" o:ole="">
                  <v:imagedata r:id="rId9" o:title=""/>
                </v:shape>
                <w:control r:id="rId101" w:name="DefaultOcxName229" w:shapeid="_x0000_i132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C.</w:t>
            </w:r>
            <w:r w:rsidRPr="00443ED6">
              <w:rPr>
                <w:rFonts w:ascii="Segoe UI" w:eastAsia="宋体" w:hAnsi="Segoe UI" w:cs="Segoe UI"/>
                <w:color w:val="000000"/>
                <w:kern w:val="0"/>
                <w:sz w:val="18"/>
                <w:szCs w:val="18"/>
              </w:rPr>
              <w:t xml:space="preserve"> the compounded return after deducting the compounded sales charge and annual expenses.</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noWrap/>
            <w:vAlign w:val="center"/>
            <w:hideMark/>
          </w:tcPr>
          <w:p w:rsidR="00443ED6" w:rsidRPr="00443ED6" w:rsidRDefault="00443ED6" w:rsidP="00443ED6">
            <w:pPr>
              <w:widowControl/>
              <w:jc w:val="center"/>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0" w:type="auto"/>
            <w:gridSpan w:val="5"/>
            <w:shd w:val="clear" w:color="auto" w:fill="FF6347"/>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b/>
                <w:bCs/>
                <w:color w:val="000080"/>
                <w:kern w:val="0"/>
                <w:sz w:val="16"/>
                <w:szCs w:val="16"/>
              </w:rPr>
              <w:t>Feedback:</w:t>
            </w:r>
            <w:r w:rsidRPr="00443ED6">
              <w:rPr>
                <w:rFonts w:ascii="Segoe UI" w:eastAsia="宋体" w:hAnsi="Segoe UI" w:cs="Segoe UI"/>
                <w:color w:val="333333"/>
                <w:kern w:val="0"/>
                <w:sz w:val="18"/>
                <w:szCs w:val="18"/>
              </w:rPr>
              <w:t xml:space="preserve"> You have answered incorrectly.</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 xml:space="preserve">Correct answer: </w:t>
            </w:r>
            <w:r w:rsidRPr="00443ED6">
              <w:rPr>
                <w:rFonts w:ascii="Segoe UI" w:eastAsia="宋体" w:hAnsi="Segoe UI" w:cs="Segoe UI"/>
                <w:b/>
                <w:bCs/>
                <w:color w:val="333333"/>
                <w:kern w:val="0"/>
                <w:sz w:val="18"/>
                <w:szCs w:val="18"/>
              </w:rPr>
              <w:t>B</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 xml:space="preserve">"Alternative Investments," Bruno </w:t>
            </w:r>
            <w:proofErr w:type="spellStart"/>
            <w:r w:rsidRPr="00443ED6">
              <w:rPr>
                <w:rFonts w:ascii="Segoe UI" w:eastAsia="宋体" w:hAnsi="Segoe UI" w:cs="Segoe UI"/>
                <w:color w:val="333333"/>
                <w:kern w:val="0"/>
                <w:sz w:val="18"/>
                <w:szCs w:val="18"/>
              </w:rPr>
              <w:t>Solnik</w:t>
            </w:r>
            <w:proofErr w:type="spellEnd"/>
            <w:r w:rsidRPr="00443ED6">
              <w:rPr>
                <w:rFonts w:ascii="Segoe UI" w:eastAsia="宋体" w:hAnsi="Segoe UI" w:cs="Segoe UI"/>
                <w:color w:val="333333"/>
                <w:kern w:val="0"/>
                <w:sz w:val="18"/>
                <w:szCs w:val="18"/>
              </w:rPr>
              <w:t xml:space="preserve"> and Dennis </w:t>
            </w:r>
            <w:proofErr w:type="spellStart"/>
            <w:r w:rsidRPr="00443ED6">
              <w:rPr>
                <w:rFonts w:ascii="Segoe UI" w:eastAsia="宋体" w:hAnsi="Segoe UI" w:cs="Segoe UI"/>
                <w:color w:val="333333"/>
                <w:kern w:val="0"/>
                <w:sz w:val="18"/>
                <w:szCs w:val="18"/>
              </w:rPr>
              <w:t>McLeavey</w:t>
            </w:r>
            <w:proofErr w:type="spellEnd"/>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lastRenderedPageBreak/>
              <w:t>2011 Modular Level I, Vol. 6, pp. 189–192</w:t>
            </w:r>
            <w:r w:rsidRPr="00443ED6">
              <w:rPr>
                <w:rFonts w:ascii="Segoe UI" w:eastAsia="宋体" w:hAnsi="Segoe UI" w:cs="Segoe UI"/>
                <w:color w:val="333333"/>
                <w:kern w:val="0"/>
                <w:sz w:val="18"/>
                <w:szCs w:val="18"/>
              </w:rPr>
              <w:br/>
              <w:t>Study Session 18–74–a</w:t>
            </w:r>
            <w:r w:rsidRPr="00443ED6">
              <w:rPr>
                <w:rFonts w:ascii="Segoe UI" w:eastAsia="宋体" w:hAnsi="Segoe UI" w:cs="Segoe UI"/>
                <w:color w:val="333333"/>
                <w:kern w:val="0"/>
                <w:sz w:val="18"/>
                <w:szCs w:val="18"/>
              </w:rPr>
              <w:br/>
              <w:t>Differentiate between an open-end and a closed-end fund, and explain how net asset value of a fund is calculated and the nature of fees charged by investment companies.</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 xml:space="preserve">NAV calculation first deducts the sales charge at </w:t>
            </w:r>
            <w:r w:rsidRPr="00443ED6">
              <w:rPr>
                <w:rFonts w:ascii="Segoe UI" w:eastAsia="宋体" w:hAnsi="Segoe UI" w:cs="Segoe UI"/>
                <w:i/>
                <w:iCs/>
                <w:color w:val="333333"/>
                <w:kern w:val="0"/>
                <w:sz w:val="18"/>
                <w:szCs w:val="18"/>
              </w:rPr>
              <w:t>t</w:t>
            </w:r>
            <w:r w:rsidRPr="00443ED6">
              <w:rPr>
                <w:rFonts w:ascii="Segoe UI" w:eastAsia="宋体" w:hAnsi="Segoe UI" w:cs="Segoe UI"/>
                <w:color w:val="333333"/>
                <w:kern w:val="0"/>
                <w:sz w:val="18"/>
                <w:szCs w:val="18"/>
              </w:rPr>
              <w:t xml:space="preserve"> = 0 and then compounds the annual return. The NAV also reflects the compounded deduction of the annual expenses. </w:t>
            </w:r>
          </w:p>
        </w:tc>
      </w:tr>
    </w:tbl>
    <w:p w:rsidR="00EB42B0" w:rsidRDefault="00EB42B0">
      <w:pPr>
        <w:rPr>
          <w:rFonts w:hint="eastAsia"/>
        </w:rPr>
      </w:pPr>
    </w:p>
    <w:tbl>
      <w:tblPr>
        <w:tblW w:w="5000" w:type="pct"/>
        <w:tblCellSpacing w:w="15" w:type="dxa"/>
        <w:tblCellMar>
          <w:top w:w="30" w:type="dxa"/>
          <w:left w:w="30" w:type="dxa"/>
          <w:bottom w:w="30" w:type="dxa"/>
          <w:right w:w="30" w:type="dxa"/>
        </w:tblCellMar>
        <w:tblLook w:val="04A0"/>
      </w:tblPr>
      <w:tblGrid>
        <w:gridCol w:w="420"/>
        <w:gridCol w:w="702"/>
        <w:gridCol w:w="7031"/>
        <w:gridCol w:w="96"/>
        <w:gridCol w:w="96"/>
        <w:gridCol w:w="111"/>
      </w:tblGrid>
      <w:tr w:rsidR="00443ED6" w:rsidRPr="00443ED6" w:rsidTr="00443ED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43ED6" w:rsidRPr="00443ED6" w:rsidRDefault="00443ED6" w:rsidP="00443ED6">
            <w:pPr>
              <w:widowControl/>
              <w:jc w:val="left"/>
              <w:rPr>
                <w:rFonts w:ascii="Segoe UI" w:eastAsia="宋体" w:hAnsi="Segoe UI" w:cs="Segoe UI"/>
                <w:b/>
                <w:bCs/>
                <w:color w:val="000000"/>
                <w:kern w:val="0"/>
                <w:sz w:val="18"/>
                <w:szCs w:val="18"/>
              </w:rPr>
            </w:pPr>
            <w:r w:rsidRPr="00443ED6">
              <w:rPr>
                <w:rFonts w:ascii="Segoe UI" w:eastAsia="宋体" w:hAnsi="Segoe UI" w:cs="Segoe UI"/>
                <w:b/>
                <w:bCs/>
                <w:color w:val="000000"/>
                <w:kern w:val="0"/>
                <w:sz w:val="18"/>
                <w:szCs w:val="18"/>
              </w:rPr>
              <w:t>50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xml:space="preserve">Which of the following statements regarding biases in hedge fund performance in hedge fund databases is </w:t>
            </w:r>
            <w:r w:rsidRPr="00443ED6">
              <w:rPr>
                <w:rFonts w:ascii="Segoe UI" w:eastAsia="宋体" w:hAnsi="Segoe UI" w:cs="Segoe UI"/>
                <w:i/>
                <w:iCs/>
                <w:color w:val="333333"/>
                <w:kern w:val="0"/>
                <w:sz w:val="18"/>
                <w:szCs w:val="18"/>
              </w:rPr>
              <w:t>least likely</w:t>
            </w:r>
            <w:r w:rsidRPr="00443ED6">
              <w:rPr>
                <w:rFonts w:ascii="Segoe UI" w:eastAsia="宋体" w:hAnsi="Segoe UI" w:cs="Segoe UI"/>
                <w:color w:val="333333"/>
                <w:kern w:val="0"/>
                <w:sz w:val="18"/>
                <w:szCs w:val="18"/>
              </w:rPr>
              <w:t xml:space="preserve"> correct?</w:t>
            </w: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36" type="#_x0000_t75" style="width:20.25pt;height:15.75pt" o:ole="">
                  <v:imagedata r:id="rId7" o:title=""/>
                </v:shape>
                <w:control r:id="rId102" w:name="DefaultOcxName50" w:shapeid="_x0000_i133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A.</w:t>
            </w:r>
            <w:r w:rsidRPr="00443ED6">
              <w:rPr>
                <w:rFonts w:ascii="Segoe UI" w:eastAsia="宋体" w:hAnsi="Segoe UI" w:cs="Segoe UI"/>
                <w:color w:val="000000"/>
                <w:kern w:val="0"/>
                <w:sz w:val="18"/>
                <w:szCs w:val="18"/>
              </w:rPr>
              <w:t xml:space="preserve"> Only hedge fund managers with good track records enter the database, creating a positive bias.</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35" type="#_x0000_t75" style="width:20.25pt;height:15.75pt" o:ole="">
                  <v:imagedata r:id="rId9" o:title=""/>
                </v:shape>
                <w:control r:id="rId103" w:name="DefaultOcxName130" w:shapeid="_x0000_i133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B.</w:t>
            </w:r>
            <w:r w:rsidRPr="00443ED6">
              <w:rPr>
                <w:rFonts w:ascii="Segoe UI" w:eastAsia="宋体" w:hAnsi="Segoe UI" w:cs="Segoe UI"/>
                <w:color w:val="000000"/>
                <w:kern w:val="0"/>
                <w:sz w:val="18"/>
                <w:szCs w:val="18"/>
              </w:rPr>
              <w:t xml:space="preserve"> The correlations between asset class returns are artificially low when underlying assets trade infrequently.</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43ED6" w:rsidRPr="00443ED6" w:rsidRDefault="00443ED6" w:rsidP="00443ED6">
            <w:pPr>
              <w:widowControl/>
              <w:jc w:val="center"/>
              <w:rPr>
                <w:rFonts w:ascii="Segoe UI" w:eastAsia="宋体" w:hAnsi="Segoe UI" w:cs="Segoe UI"/>
                <w:color w:val="000000"/>
                <w:kern w:val="0"/>
                <w:sz w:val="18"/>
                <w:szCs w:val="18"/>
              </w:rPr>
            </w:pPr>
            <w:r w:rsidRPr="00443ED6">
              <w:rPr>
                <w:rFonts w:ascii="Segoe UI" w:eastAsia="宋体" w:hAnsi="Segoe UI" w:cs="Segoe UI"/>
                <w:color w:val="000000"/>
                <w:kern w:val="0"/>
                <w:sz w:val="18"/>
                <w:szCs w:val="18"/>
              </w:rPr>
              <w:object w:dxaOrig="1440" w:dyaOrig="1440">
                <v:shape id="_x0000_i1334" type="#_x0000_t75" style="width:20.25pt;height:15.75pt" o:ole="">
                  <v:imagedata r:id="rId9" o:title=""/>
                </v:shape>
                <w:control r:id="rId104" w:name="DefaultOcxName230" w:shapeid="_x0000_i133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43ED6" w:rsidRPr="00443ED6" w:rsidRDefault="00443ED6" w:rsidP="00443ED6">
            <w:pPr>
              <w:widowControl/>
              <w:jc w:val="left"/>
              <w:rPr>
                <w:rFonts w:ascii="Segoe UI" w:eastAsia="宋体" w:hAnsi="Segoe UI" w:cs="Segoe UI"/>
                <w:color w:val="000000"/>
                <w:kern w:val="0"/>
                <w:sz w:val="18"/>
                <w:szCs w:val="18"/>
              </w:rPr>
            </w:pPr>
            <w:r w:rsidRPr="00443ED6">
              <w:rPr>
                <w:rFonts w:ascii="Segoe UI" w:eastAsia="宋体" w:hAnsi="Segoe UI" w:cs="Segoe UI"/>
                <w:b/>
                <w:bCs/>
                <w:color w:val="000000"/>
                <w:kern w:val="0"/>
                <w:sz w:val="18"/>
                <w:szCs w:val="18"/>
              </w:rPr>
              <w:t>C.</w:t>
            </w:r>
            <w:r w:rsidRPr="00443ED6">
              <w:rPr>
                <w:rFonts w:ascii="Segoe UI" w:eastAsia="宋体" w:hAnsi="Segoe UI" w:cs="Segoe UI"/>
                <w:color w:val="000000"/>
                <w:kern w:val="0"/>
                <w:sz w:val="18"/>
                <w:szCs w:val="18"/>
              </w:rPr>
              <w:t xml:space="preserve"> Hedge fund database administrators decide which funds to include in the database to overcome self-selection bias.</w:t>
            </w: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c>
          <w:tcPr>
            <w:tcW w:w="0" w:type="auto"/>
            <w:vAlign w:val="center"/>
            <w:hideMark/>
          </w:tcPr>
          <w:p w:rsidR="00443ED6" w:rsidRPr="00443ED6" w:rsidRDefault="00443ED6" w:rsidP="00443ED6">
            <w:pPr>
              <w:widowControl/>
              <w:jc w:val="left"/>
              <w:rPr>
                <w:rFonts w:ascii="Times New Roman" w:eastAsia="Times New Roman" w:hAnsi="Times New Roman" w:cs="Times New Roman"/>
                <w:kern w:val="0"/>
                <w:sz w:val="20"/>
                <w:szCs w:val="20"/>
              </w:rPr>
            </w:pPr>
          </w:p>
        </w:tc>
      </w:tr>
      <w:tr w:rsidR="00443ED6" w:rsidRPr="00443ED6" w:rsidTr="00443ED6">
        <w:trPr>
          <w:trHeight w:val="525"/>
          <w:tblCellSpacing w:w="15" w:type="dxa"/>
        </w:trPr>
        <w:tc>
          <w:tcPr>
            <w:tcW w:w="375" w:type="dxa"/>
            <w:noWrap/>
            <w:vAlign w:val="center"/>
            <w:hideMark/>
          </w:tcPr>
          <w:p w:rsidR="00443ED6" w:rsidRPr="00443ED6" w:rsidRDefault="00443ED6" w:rsidP="00443ED6">
            <w:pPr>
              <w:widowControl/>
              <w:jc w:val="center"/>
              <w:rPr>
                <w:rFonts w:ascii="Segoe UI" w:eastAsia="宋体" w:hAnsi="Segoe UI" w:cs="Segoe UI"/>
                <w:color w:val="333333"/>
                <w:kern w:val="0"/>
                <w:sz w:val="18"/>
                <w:szCs w:val="18"/>
              </w:rPr>
            </w:pPr>
            <w:r w:rsidRPr="00443ED6">
              <w:rPr>
                <w:rFonts w:ascii="Segoe UI" w:eastAsia="宋体" w:hAnsi="Segoe UI" w:cs="Segoe UI"/>
                <w:color w:val="333333"/>
                <w:kern w:val="0"/>
                <w:sz w:val="18"/>
                <w:szCs w:val="18"/>
              </w:rPr>
              <w:t> </w:t>
            </w:r>
          </w:p>
        </w:tc>
        <w:tc>
          <w:tcPr>
            <w:tcW w:w="0" w:type="auto"/>
            <w:gridSpan w:val="5"/>
            <w:shd w:val="clear" w:color="auto" w:fill="FF6347"/>
            <w:vAlign w:val="center"/>
            <w:hideMark/>
          </w:tcPr>
          <w:p w:rsidR="00443ED6" w:rsidRPr="00443ED6" w:rsidRDefault="00443ED6" w:rsidP="00443ED6">
            <w:pPr>
              <w:widowControl/>
              <w:jc w:val="left"/>
              <w:rPr>
                <w:rFonts w:ascii="Segoe UI" w:eastAsia="宋体" w:hAnsi="Segoe UI" w:cs="Segoe UI"/>
                <w:color w:val="333333"/>
                <w:kern w:val="0"/>
                <w:sz w:val="18"/>
                <w:szCs w:val="18"/>
              </w:rPr>
            </w:pPr>
            <w:r w:rsidRPr="00443ED6">
              <w:rPr>
                <w:rFonts w:ascii="Segoe UI" w:eastAsia="宋体" w:hAnsi="Segoe UI" w:cs="Segoe UI"/>
                <w:b/>
                <w:bCs/>
                <w:color w:val="000080"/>
                <w:kern w:val="0"/>
                <w:sz w:val="16"/>
                <w:szCs w:val="16"/>
              </w:rPr>
              <w:t>Feedback:</w:t>
            </w:r>
            <w:r w:rsidRPr="00443ED6">
              <w:rPr>
                <w:rFonts w:ascii="Segoe UI" w:eastAsia="宋体" w:hAnsi="Segoe UI" w:cs="Segoe UI"/>
                <w:color w:val="333333"/>
                <w:kern w:val="0"/>
                <w:sz w:val="18"/>
                <w:szCs w:val="18"/>
              </w:rPr>
              <w:t xml:space="preserve"> You have answered incorrectly.</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 xml:space="preserve">Correct answer: </w:t>
            </w:r>
            <w:r w:rsidRPr="00443ED6">
              <w:rPr>
                <w:rFonts w:ascii="Segoe UI" w:eastAsia="宋体" w:hAnsi="Segoe UI" w:cs="Segoe UI"/>
                <w:b/>
                <w:bCs/>
                <w:color w:val="333333"/>
                <w:kern w:val="0"/>
                <w:sz w:val="18"/>
                <w:szCs w:val="18"/>
              </w:rPr>
              <w:t>C</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 xml:space="preserve">"Alternative Investments," Bruno </w:t>
            </w:r>
            <w:proofErr w:type="spellStart"/>
            <w:r w:rsidRPr="00443ED6">
              <w:rPr>
                <w:rFonts w:ascii="Segoe UI" w:eastAsia="宋体" w:hAnsi="Segoe UI" w:cs="Segoe UI"/>
                <w:color w:val="333333"/>
                <w:kern w:val="0"/>
                <w:sz w:val="18"/>
                <w:szCs w:val="18"/>
              </w:rPr>
              <w:t>Solnik</w:t>
            </w:r>
            <w:proofErr w:type="spellEnd"/>
            <w:r w:rsidRPr="00443ED6">
              <w:rPr>
                <w:rFonts w:ascii="Segoe UI" w:eastAsia="宋体" w:hAnsi="Segoe UI" w:cs="Segoe UI"/>
                <w:color w:val="333333"/>
                <w:kern w:val="0"/>
                <w:sz w:val="18"/>
                <w:szCs w:val="18"/>
              </w:rPr>
              <w:t xml:space="preserve"> and Dennis </w:t>
            </w:r>
            <w:proofErr w:type="spellStart"/>
            <w:r w:rsidRPr="00443ED6">
              <w:rPr>
                <w:rFonts w:ascii="Segoe UI" w:eastAsia="宋体" w:hAnsi="Segoe UI" w:cs="Segoe UI"/>
                <w:color w:val="333333"/>
                <w:kern w:val="0"/>
                <w:sz w:val="18"/>
                <w:szCs w:val="18"/>
              </w:rPr>
              <w:t>McLeavey</w:t>
            </w:r>
            <w:proofErr w:type="spellEnd"/>
            <w:r w:rsidRPr="00443ED6">
              <w:rPr>
                <w:rFonts w:ascii="Segoe UI" w:eastAsia="宋体" w:hAnsi="Segoe UI" w:cs="Segoe UI"/>
                <w:color w:val="333333"/>
                <w:kern w:val="0"/>
                <w:sz w:val="18"/>
                <w:szCs w:val="18"/>
              </w:rPr>
              <w:br/>
              <w:t>2011 Modular Level I, Vol. 6, pp. 227–229</w:t>
            </w:r>
            <w:r w:rsidRPr="00443ED6">
              <w:rPr>
                <w:rFonts w:ascii="Segoe UI" w:eastAsia="宋体" w:hAnsi="Segoe UI" w:cs="Segoe UI"/>
                <w:color w:val="333333"/>
                <w:kern w:val="0"/>
                <w:sz w:val="18"/>
                <w:szCs w:val="18"/>
              </w:rPr>
              <w:br/>
              <w:t>Study Session 18–74–l</w:t>
            </w:r>
            <w:r w:rsidRPr="00443ED6">
              <w:rPr>
                <w:rFonts w:ascii="Segoe UI" w:eastAsia="宋体" w:hAnsi="Segoe UI" w:cs="Segoe UI"/>
                <w:color w:val="333333"/>
                <w:kern w:val="0"/>
                <w:sz w:val="18"/>
                <w:szCs w:val="18"/>
              </w:rPr>
              <w:br/>
              <w:t>Discuss the performance of hedge funds, and the biases present in hedge fund performance measurement, and explain the effect of survivorship bias on the reported return and risk measures for a hedge fund database.</w:t>
            </w:r>
            <w:r w:rsidRPr="00443ED6">
              <w:rPr>
                <w:rFonts w:ascii="Segoe UI" w:eastAsia="宋体" w:hAnsi="Segoe UI" w:cs="Segoe UI"/>
                <w:color w:val="333333"/>
                <w:kern w:val="0"/>
                <w:sz w:val="18"/>
                <w:szCs w:val="18"/>
              </w:rPr>
              <w:br/>
            </w:r>
            <w:r w:rsidRPr="00443ED6">
              <w:rPr>
                <w:rFonts w:ascii="Segoe UI" w:eastAsia="宋体" w:hAnsi="Segoe UI" w:cs="Segoe UI"/>
                <w:color w:val="333333"/>
                <w:kern w:val="0"/>
                <w:sz w:val="18"/>
                <w:szCs w:val="18"/>
              </w:rPr>
              <w:br/>
              <w:t>The hedge fund managers themselves decide whether they want to be included in a database. Managers who have funds with an unimpressive track record will not wish to have that information exposed. </w:t>
            </w:r>
          </w:p>
        </w:tc>
      </w:tr>
    </w:tbl>
    <w:p w:rsidR="00443ED6" w:rsidRDefault="00443ED6">
      <w:pPr>
        <w:rPr>
          <w:rFonts w:hint="eastAsia"/>
        </w:rPr>
      </w:pPr>
    </w:p>
    <w:tbl>
      <w:tblPr>
        <w:tblW w:w="5000" w:type="pct"/>
        <w:tblCellSpacing w:w="15" w:type="dxa"/>
        <w:tblCellMar>
          <w:top w:w="30" w:type="dxa"/>
          <w:left w:w="30" w:type="dxa"/>
          <w:bottom w:w="30" w:type="dxa"/>
          <w:right w:w="30" w:type="dxa"/>
        </w:tblCellMar>
        <w:tblLook w:val="04A0"/>
      </w:tblPr>
      <w:tblGrid>
        <w:gridCol w:w="420"/>
        <w:gridCol w:w="722"/>
        <w:gridCol w:w="7011"/>
        <w:gridCol w:w="96"/>
        <w:gridCol w:w="96"/>
        <w:gridCol w:w="111"/>
      </w:tblGrid>
      <w:tr w:rsidR="00467DE8" w:rsidRPr="00467DE8" w:rsidTr="00467DE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67DE8" w:rsidRPr="00467DE8" w:rsidRDefault="00467DE8" w:rsidP="00467DE8">
            <w:pPr>
              <w:widowControl/>
              <w:jc w:val="left"/>
              <w:rPr>
                <w:rFonts w:ascii="Segoe UI" w:eastAsia="宋体" w:hAnsi="Segoe UI" w:cs="Segoe UI"/>
                <w:b/>
                <w:bCs/>
                <w:color w:val="000000"/>
                <w:kern w:val="0"/>
                <w:sz w:val="18"/>
                <w:szCs w:val="18"/>
              </w:rPr>
            </w:pPr>
            <w:r w:rsidRPr="00467DE8">
              <w:rPr>
                <w:rFonts w:ascii="Segoe UI" w:eastAsia="宋体" w:hAnsi="Segoe UI" w:cs="Segoe UI"/>
                <w:b/>
                <w:bCs/>
                <w:color w:val="000000"/>
                <w:kern w:val="0"/>
                <w:sz w:val="18"/>
                <w:szCs w:val="18"/>
              </w:rPr>
              <w:t>51</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When market participants expect the spot price of a commodity to be higher in the future, the commodity market is said to be in:</w:t>
            </w: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45" type="#_x0000_t75" style="width:20.25pt;height:15.75pt" o:ole="">
                  <v:imagedata r:id="rId7" o:title=""/>
                </v:shape>
                <w:control r:id="rId105" w:name="DefaultOcxName51" w:shapeid="_x0000_i1345"/>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A.</w:t>
            </w:r>
            <w:r w:rsidRPr="00467DE8">
              <w:rPr>
                <w:rFonts w:ascii="Segoe UI" w:eastAsia="宋体" w:hAnsi="Segoe UI" w:cs="Segoe UI"/>
                <w:color w:val="000000"/>
                <w:kern w:val="0"/>
                <w:sz w:val="18"/>
                <w:szCs w:val="18"/>
              </w:rPr>
              <w:t xml:space="preserve"> </w:t>
            </w:r>
            <w:proofErr w:type="spellStart"/>
            <w:r w:rsidRPr="00467DE8">
              <w:rPr>
                <w:rFonts w:ascii="Segoe UI" w:eastAsia="宋体" w:hAnsi="Segoe UI" w:cs="Segoe UI"/>
                <w:color w:val="000000"/>
                <w:kern w:val="0"/>
                <w:sz w:val="18"/>
                <w:szCs w:val="18"/>
              </w:rPr>
              <w:t>contango</w:t>
            </w:r>
            <w:proofErr w:type="spellEnd"/>
            <w:r w:rsidRPr="00467DE8">
              <w:rPr>
                <w:rFonts w:ascii="Segoe UI" w:eastAsia="宋体" w:hAnsi="Segoe UI" w:cs="Segoe UI"/>
                <w:color w:val="000000"/>
                <w:kern w:val="0"/>
                <w:sz w:val="18"/>
                <w:szCs w:val="18"/>
              </w:rPr>
              <w:t>.</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44" type="#_x0000_t75" style="width:20.25pt;height:15.75pt" o:ole="">
                  <v:imagedata r:id="rId9" o:title=""/>
                </v:shape>
                <w:control r:id="rId106" w:name="DefaultOcxName131" w:shapeid="_x0000_i134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B.</w:t>
            </w:r>
            <w:r w:rsidRPr="00467DE8">
              <w:rPr>
                <w:rFonts w:ascii="Segoe UI" w:eastAsia="宋体" w:hAnsi="Segoe UI" w:cs="Segoe UI"/>
                <w:color w:val="000000"/>
                <w:kern w:val="0"/>
                <w:sz w:val="18"/>
                <w:szCs w:val="18"/>
              </w:rPr>
              <w:t xml:space="preserve"> full </w:t>
            </w:r>
            <w:proofErr w:type="gramStart"/>
            <w:r w:rsidRPr="00467DE8">
              <w:rPr>
                <w:rFonts w:ascii="Segoe UI" w:eastAsia="宋体" w:hAnsi="Segoe UI" w:cs="Segoe UI"/>
                <w:color w:val="000000"/>
                <w:kern w:val="0"/>
                <w:sz w:val="18"/>
                <w:szCs w:val="18"/>
              </w:rPr>
              <w:t>carry</w:t>
            </w:r>
            <w:proofErr w:type="gramEnd"/>
            <w:r w:rsidRPr="00467DE8">
              <w:rPr>
                <w:rFonts w:ascii="Segoe UI" w:eastAsia="宋体" w:hAnsi="Segoe UI" w:cs="Segoe UI"/>
                <w:color w:val="000000"/>
                <w:kern w:val="0"/>
                <w:sz w:val="18"/>
                <w:szCs w:val="18"/>
              </w:rPr>
              <w:t>.</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43" type="#_x0000_t75" style="width:20.25pt;height:15.75pt" o:ole="">
                  <v:imagedata r:id="rId9" o:title=""/>
                </v:shape>
                <w:control r:id="rId107" w:name="DefaultOcxName231" w:shapeid="_x0000_i134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C.</w:t>
            </w:r>
            <w:r w:rsidRPr="00467DE8">
              <w:rPr>
                <w:rFonts w:ascii="Segoe UI" w:eastAsia="宋体" w:hAnsi="Segoe UI" w:cs="Segoe UI"/>
                <w:color w:val="000000"/>
                <w:kern w:val="0"/>
                <w:sz w:val="18"/>
                <w:szCs w:val="18"/>
              </w:rPr>
              <w:t xml:space="preserve"> backwardation.</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noWrap/>
            <w:vAlign w:val="center"/>
            <w:hideMark/>
          </w:tcPr>
          <w:p w:rsidR="00467DE8" w:rsidRPr="00467DE8" w:rsidRDefault="00467DE8" w:rsidP="00467DE8">
            <w:pPr>
              <w:widowControl/>
              <w:jc w:val="center"/>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lastRenderedPageBreak/>
              <w:t> </w:t>
            </w:r>
          </w:p>
        </w:tc>
        <w:tc>
          <w:tcPr>
            <w:tcW w:w="0" w:type="auto"/>
            <w:gridSpan w:val="5"/>
            <w:shd w:val="clear" w:color="auto" w:fill="9ACD32"/>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b/>
                <w:bCs/>
                <w:color w:val="000080"/>
                <w:kern w:val="0"/>
                <w:sz w:val="16"/>
                <w:szCs w:val="16"/>
              </w:rPr>
              <w:t>Feedback:</w:t>
            </w:r>
            <w:r w:rsidRPr="00467DE8">
              <w:rPr>
                <w:rFonts w:ascii="Segoe UI" w:eastAsia="宋体" w:hAnsi="Segoe UI" w:cs="Segoe UI"/>
                <w:color w:val="333333"/>
                <w:kern w:val="0"/>
                <w:sz w:val="18"/>
                <w:szCs w:val="18"/>
              </w:rPr>
              <w:t xml:space="preserve"> You have answered correctly.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Correct answer: </w:t>
            </w:r>
            <w:r w:rsidRPr="00467DE8">
              <w:rPr>
                <w:rFonts w:ascii="Segoe UI" w:eastAsia="宋体" w:hAnsi="Segoe UI" w:cs="Segoe UI"/>
                <w:b/>
                <w:bCs/>
                <w:color w:val="333333"/>
                <w:kern w:val="0"/>
                <w:sz w:val="18"/>
                <w:szCs w:val="18"/>
              </w:rPr>
              <w:t>A</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"Investing in Commodities," Ronald G. Layard-</w:t>
            </w:r>
            <w:proofErr w:type="spellStart"/>
            <w:r w:rsidRPr="00467DE8">
              <w:rPr>
                <w:rFonts w:ascii="Segoe UI" w:eastAsia="宋体" w:hAnsi="Segoe UI" w:cs="Segoe UI"/>
                <w:color w:val="333333"/>
                <w:kern w:val="0"/>
                <w:sz w:val="18"/>
                <w:szCs w:val="18"/>
              </w:rPr>
              <w:t>Liesching</w:t>
            </w:r>
            <w:proofErr w:type="spellEnd"/>
            <w:r w:rsidRPr="00467DE8">
              <w:rPr>
                <w:rFonts w:ascii="Segoe UI" w:eastAsia="宋体" w:hAnsi="Segoe UI" w:cs="Segoe UI"/>
                <w:color w:val="333333"/>
                <w:kern w:val="0"/>
                <w:sz w:val="18"/>
                <w:szCs w:val="18"/>
              </w:rPr>
              <w:br/>
              <w:t>2011 Modular Level I, Vol. 6, pp. 262–263</w:t>
            </w:r>
            <w:r w:rsidRPr="00467DE8">
              <w:rPr>
                <w:rFonts w:ascii="Segoe UI" w:eastAsia="宋体" w:hAnsi="Segoe UI" w:cs="Segoe UI"/>
                <w:color w:val="333333"/>
                <w:kern w:val="0"/>
                <w:sz w:val="18"/>
                <w:szCs w:val="18"/>
              </w:rPr>
              <w:br/>
              <w:t>Study Session 18–75–a</w:t>
            </w:r>
            <w:r w:rsidRPr="00467DE8">
              <w:rPr>
                <w:rFonts w:ascii="Segoe UI" w:eastAsia="宋体" w:hAnsi="Segoe UI" w:cs="Segoe UI"/>
                <w:color w:val="333333"/>
                <w:kern w:val="0"/>
                <w:sz w:val="18"/>
                <w:szCs w:val="18"/>
              </w:rPr>
              <w:br/>
              <w:t xml:space="preserve">Explain the relationship between spot prices and expected futures prices in terms of </w:t>
            </w:r>
            <w:proofErr w:type="spellStart"/>
            <w:r w:rsidRPr="00467DE8">
              <w:rPr>
                <w:rFonts w:ascii="Segoe UI" w:eastAsia="宋体" w:hAnsi="Segoe UI" w:cs="Segoe UI"/>
                <w:color w:val="333333"/>
                <w:kern w:val="0"/>
                <w:sz w:val="18"/>
                <w:szCs w:val="18"/>
              </w:rPr>
              <w:t>contango</w:t>
            </w:r>
            <w:proofErr w:type="spellEnd"/>
            <w:r w:rsidRPr="00467DE8">
              <w:rPr>
                <w:rFonts w:ascii="Segoe UI" w:eastAsia="宋体" w:hAnsi="Segoe UI" w:cs="Segoe UI"/>
                <w:color w:val="333333"/>
                <w:kern w:val="0"/>
                <w:sz w:val="18"/>
                <w:szCs w:val="18"/>
              </w:rPr>
              <w:t xml:space="preserve"> and backwardation.</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When a commodity market is in </w:t>
            </w:r>
            <w:proofErr w:type="spellStart"/>
            <w:r w:rsidRPr="00467DE8">
              <w:rPr>
                <w:rFonts w:ascii="Segoe UI" w:eastAsia="宋体" w:hAnsi="Segoe UI" w:cs="Segoe UI"/>
                <w:color w:val="333333"/>
                <w:kern w:val="0"/>
                <w:sz w:val="18"/>
                <w:szCs w:val="18"/>
              </w:rPr>
              <w:t>contango</w:t>
            </w:r>
            <w:proofErr w:type="spellEnd"/>
            <w:r w:rsidRPr="00467DE8">
              <w:rPr>
                <w:rFonts w:ascii="Segoe UI" w:eastAsia="宋体" w:hAnsi="Segoe UI" w:cs="Segoe UI"/>
                <w:color w:val="333333"/>
                <w:kern w:val="0"/>
                <w:sz w:val="18"/>
                <w:szCs w:val="18"/>
              </w:rPr>
              <w:t>, futures prices are higher than the spot price as market participants believe the spot price will be higher in the future. When spot prices are above the futures prices, the market is said to be in backwardation. </w:t>
            </w:r>
          </w:p>
        </w:tc>
      </w:tr>
    </w:tbl>
    <w:p w:rsidR="00443ED6" w:rsidRDefault="00443ED6">
      <w:pPr>
        <w:rPr>
          <w:rFonts w:hint="eastAsia"/>
        </w:rPr>
      </w:pPr>
    </w:p>
    <w:tbl>
      <w:tblPr>
        <w:tblW w:w="5000" w:type="pct"/>
        <w:tblCellSpacing w:w="15" w:type="dxa"/>
        <w:tblCellMar>
          <w:top w:w="30" w:type="dxa"/>
          <w:left w:w="30" w:type="dxa"/>
          <w:bottom w:w="30" w:type="dxa"/>
          <w:right w:w="30" w:type="dxa"/>
        </w:tblCellMar>
        <w:tblLook w:val="04A0"/>
      </w:tblPr>
      <w:tblGrid>
        <w:gridCol w:w="420"/>
        <w:gridCol w:w="658"/>
        <w:gridCol w:w="7075"/>
        <w:gridCol w:w="96"/>
        <w:gridCol w:w="96"/>
        <w:gridCol w:w="111"/>
      </w:tblGrid>
      <w:tr w:rsidR="00467DE8" w:rsidRPr="00467DE8" w:rsidTr="00467DE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67DE8" w:rsidRPr="00467DE8" w:rsidRDefault="00467DE8" w:rsidP="00467DE8">
            <w:pPr>
              <w:widowControl/>
              <w:jc w:val="left"/>
              <w:rPr>
                <w:rFonts w:ascii="Segoe UI" w:eastAsia="宋体" w:hAnsi="Segoe UI" w:cs="Segoe UI"/>
                <w:b/>
                <w:bCs/>
                <w:color w:val="000000"/>
                <w:kern w:val="0"/>
                <w:sz w:val="18"/>
                <w:szCs w:val="18"/>
              </w:rPr>
            </w:pPr>
            <w:r w:rsidRPr="00467DE8">
              <w:rPr>
                <w:rFonts w:ascii="Segoe UI" w:eastAsia="宋体" w:hAnsi="Segoe UI" w:cs="Segoe UI"/>
                <w:b/>
                <w:bCs/>
                <w:color w:val="000000"/>
                <w:kern w:val="0"/>
                <w:sz w:val="18"/>
                <w:szCs w:val="18"/>
              </w:rPr>
              <w:t>52</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xml:space="preserve">Which of these embedded options </w:t>
            </w:r>
            <w:r w:rsidRPr="00467DE8">
              <w:rPr>
                <w:rFonts w:ascii="Segoe UI" w:eastAsia="宋体" w:hAnsi="Segoe UI" w:cs="Segoe UI"/>
                <w:i/>
                <w:iCs/>
                <w:color w:val="333333"/>
                <w:kern w:val="0"/>
                <w:sz w:val="18"/>
                <w:szCs w:val="18"/>
              </w:rPr>
              <w:t>most likely</w:t>
            </w:r>
            <w:r w:rsidRPr="00467DE8">
              <w:rPr>
                <w:rFonts w:ascii="Segoe UI" w:eastAsia="宋体" w:hAnsi="Segoe UI" w:cs="Segoe UI"/>
                <w:color w:val="333333"/>
                <w:kern w:val="0"/>
                <w:sz w:val="18"/>
                <w:szCs w:val="18"/>
              </w:rPr>
              <w:t xml:space="preserve"> benefits a bondholder?</w:t>
            </w: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54" type="#_x0000_t75" style="width:20.25pt;height:15.75pt" o:ole="">
                  <v:imagedata r:id="rId7" o:title=""/>
                </v:shape>
                <w:control r:id="rId108" w:name="DefaultOcxName52" w:shapeid="_x0000_i1354"/>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A.</w:t>
            </w:r>
            <w:r w:rsidRPr="00467DE8">
              <w:rPr>
                <w:rFonts w:ascii="Segoe UI" w:eastAsia="宋体" w:hAnsi="Segoe UI" w:cs="Segoe UI"/>
                <w:color w:val="000000"/>
                <w:kern w:val="0"/>
                <w:sz w:val="18"/>
                <w:szCs w:val="18"/>
              </w:rPr>
              <w:t xml:space="preserve"> The floor in a floating-rate security</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53" type="#_x0000_t75" style="width:20.25pt;height:15.75pt" o:ole="">
                  <v:imagedata r:id="rId9" o:title=""/>
                </v:shape>
                <w:control r:id="rId109" w:name="DefaultOcxName132" w:shapeid="_x0000_i135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B.</w:t>
            </w:r>
            <w:r w:rsidRPr="00467DE8">
              <w:rPr>
                <w:rFonts w:ascii="Segoe UI" w:eastAsia="宋体" w:hAnsi="Segoe UI" w:cs="Segoe UI"/>
                <w:color w:val="000000"/>
                <w:kern w:val="0"/>
                <w:sz w:val="18"/>
                <w:szCs w:val="18"/>
              </w:rPr>
              <w:t xml:space="preserve"> An accelerated sinking fund provision</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52" type="#_x0000_t75" style="width:20.25pt;height:15.75pt" o:ole="">
                  <v:imagedata r:id="rId9" o:title=""/>
                </v:shape>
                <w:control r:id="rId110" w:name="DefaultOcxName232" w:shapeid="_x0000_i135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C.</w:t>
            </w:r>
            <w:r w:rsidRPr="00467DE8">
              <w:rPr>
                <w:rFonts w:ascii="Segoe UI" w:eastAsia="宋体" w:hAnsi="Segoe UI" w:cs="Segoe UI"/>
                <w:color w:val="000000"/>
                <w:kern w:val="0"/>
                <w:sz w:val="18"/>
                <w:szCs w:val="18"/>
              </w:rPr>
              <w:t xml:space="preserve"> The call option in a fixed-rate security</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noWrap/>
            <w:vAlign w:val="center"/>
            <w:hideMark/>
          </w:tcPr>
          <w:p w:rsidR="00467DE8" w:rsidRPr="00467DE8" w:rsidRDefault="00467DE8" w:rsidP="00467DE8">
            <w:pPr>
              <w:widowControl/>
              <w:jc w:val="center"/>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0" w:type="auto"/>
            <w:gridSpan w:val="5"/>
            <w:shd w:val="clear" w:color="auto" w:fill="9ACD32"/>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b/>
                <w:bCs/>
                <w:color w:val="000080"/>
                <w:kern w:val="0"/>
                <w:sz w:val="16"/>
                <w:szCs w:val="16"/>
              </w:rPr>
              <w:t>Feedback:</w:t>
            </w:r>
            <w:r w:rsidRPr="00467DE8">
              <w:rPr>
                <w:rFonts w:ascii="Segoe UI" w:eastAsia="宋体" w:hAnsi="Segoe UI" w:cs="Segoe UI"/>
                <w:color w:val="333333"/>
                <w:kern w:val="0"/>
                <w:sz w:val="18"/>
                <w:szCs w:val="18"/>
              </w:rPr>
              <w:t xml:space="preserve"> You have answered correctly.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Correct answer: </w:t>
            </w:r>
            <w:r w:rsidRPr="00467DE8">
              <w:rPr>
                <w:rFonts w:ascii="Segoe UI" w:eastAsia="宋体" w:hAnsi="Segoe UI" w:cs="Segoe UI"/>
                <w:b/>
                <w:bCs/>
                <w:color w:val="333333"/>
                <w:kern w:val="0"/>
                <w:sz w:val="18"/>
                <w:szCs w:val="18"/>
              </w:rPr>
              <w:t>A</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"Features of Debt Securities," Frank J. </w:t>
            </w:r>
            <w:proofErr w:type="spellStart"/>
            <w:r w:rsidRPr="00467DE8">
              <w:rPr>
                <w:rFonts w:ascii="Segoe UI" w:eastAsia="宋体" w:hAnsi="Segoe UI" w:cs="Segoe UI"/>
                <w:color w:val="333333"/>
                <w:kern w:val="0"/>
                <w:sz w:val="18"/>
                <w:szCs w:val="18"/>
              </w:rPr>
              <w:t>Fabozzi</w:t>
            </w:r>
            <w:proofErr w:type="spellEnd"/>
            <w:r w:rsidRPr="00467DE8">
              <w:rPr>
                <w:rFonts w:ascii="Segoe UI" w:eastAsia="宋体" w:hAnsi="Segoe UI" w:cs="Segoe UI"/>
                <w:color w:val="333333"/>
                <w:kern w:val="0"/>
                <w:sz w:val="18"/>
                <w:szCs w:val="18"/>
              </w:rPr>
              <w:t>, CFA</w:t>
            </w:r>
            <w:r w:rsidRPr="00467DE8">
              <w:rPr>
                <w:rFonts w:ascii="Segoe UI" w:eastAsia="宋体" w:hAnsi="Segoe UI" w:cs="Segoe UI"/>
                <w:color w:val="333333"/>
                <w:kern w:val="0"/>
                <w:sz w:val="18"/>
                <w:szCs w:val="18"/>
              </w:rPr>
              <w:br/>
              <w:t>2011 Modular Level I, Vol. 5, p. 337</w:t>
            </w:r>
            <w:r w:rsidRPr="00467DE8">
              <w:rPr>
                <w:rFonts w:ascii="Segoe UI" w:eastAsia="宋体" w:hAnsi="Segoe UI" w:cs="Segoe UI"/>
                <w:color w:val="333333"/>
                <w:kern w:val="0"/>
                <w:sz w:val="18"/>
                <w:szCs w:val="18"/>
              </w:rPr>
              <w:br/>
              <w:t>Study Session 15–61–e</w:t>
            </w:r>
            <w:r w:rsidRPr="00467DE8">
              <w:rPr>
                <w:rFonts w:ascii="Segoe UI" w:eastAsia="宋体" w:hAnsi="Segoe UI" w:cs="Segoe UI"/>
                <w:color w:val="333333"/>
                <w:kern w:val="0"/>
                <w:sz w:val="18"/>
                <w:szCs w:val="18"/>
              </w:rPr>
              <w:br/>
              <w:t>Identify the common options embedded in a bond issue, explain the importance of embedded options, and state whether such options benefit the issuer or the bondholder.</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The floor guarantees a minimum rate that the investor will earn. </w:t>
            </w:r>
          </w:p>
        </w:tc>
      </w:tr>
    </w:tbl>
    <w:p w:rsidR="00467DE8" w:rsidRDefault="00467DE8">
      <w:pPr>
        <w:rPr>
          <w:rFonts w:hint="eastAsia"/>
        </w:rPr>
      </w:pPr>
    </w:p>
    <w:tbl>
      <w:tblPr>
        <w:tblW w:w="5000" w:type="pct"/>
        <w:tblCellSpacing w:w="15" w:type="dxa"/>
        <w:tblCellMar>
          <w:top w:w="30" w:type="dxa"/>
          <w:left w:w="30" w:type="dxa"/>
          <w:bottom w:w="30" w:type="dxa"/>
          <w:right w:w="30" w:type="dxa"/>
        </w:tblCellMar>
        <w:tblLook w:val="04A0"/>
      </w:tblPr>
      <w:tblGrid>
        <w:gridCol w:w="420"/>
        <w:gridCol w:w="614"/>
        <w:gridCol w:w="7119"/>
        <w:gridCol w:w="96"/>
        <w:gridCol w:w="96"/>
        <w:gridCol w:w="111"/>
      </w:tblGrid>
      <w:tr w:rsidR="00467DE8" w:rsidRPr="00467DE8" w:rsidTr="00467DE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67DE8" w:rsidRPr="00467DE8" w:rsidRDefault="00467DE8" w:rsidP="00467DE8">
            <w:pPr>
              <w:widowControl/>
              <w:jc w:val="left"/>
              <w:rPr>
                <w:rFonts w:ascii="Segoe UI" w:eastAsia="宋体" w:hAnsi="Segoe UI" w:cs="Segoe UI"/>
                <w:b/>
                <w:bCs/>
                <w:color w:val="000000"/>
                <w:kern w:val="0"/>
                <w:sz w:val="18"/>
                <w:szCs w:val="18"/>
              </w:rPr>
            </w:pPr>
            <w:r w:rsidRPr="00467DE8">
              <w:rPr>
                <w:rFonts w:ascii="Segoe UI" w:eastAsia="宋体" w:hAnsi="Segoe UI" w:cs="Segoe UI"/>
                <w:b/>
                <w:bCs/>
                <w:color w:val="000000"/>
                <w:kern w:val="0"/>
                <w:sz w:val="18"/>
                <w:szCs w:val="18"/>
              </w:rPr>
              <w:t>53</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xml:space="preserve">Consider two bonds that are identical except for their coupon rates. The bond that will have the highest interest rate risk </w:t>
            </w:r>
            <w:r w:rsidRPr="00467DE8">
              <w:rPr>
                <w:rFonts w:ascii="Segoe UI" w:eastAsia="宋体" w:hAnsi="Segoe UI" w:cs="Segoe UI"/>
                <w:i/>
                <w:iCs/>
                <w:color w:val="333333"/>
                <w:kern w:val="0"/>
                <w:sz w:val="18"/>
                <w:szCs w:val="18"/>
              </w:rPr>
              <w:t>most likely</w:t>
            </w:r>
            <w:r w:rsidRPr="00467DE8">
              <w:rPr>
                <w:rFonts w:ascii="Segoe UI" w:eastAsia="宋体" w:hAnsi="Segoe UI" w:cs="Segoe UI"/>
                <w:color w:val="333333"/>
                <w:kern w:val="0"/>
                <w:sz w:val="18"/>
                <w:szCs w:val="18"/>
              </w:rPr>
              <w:t xml:space="preserve"> has the:</w:t>
            </w: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63" type="#_x0000_t75" style="width:20.25pt;height:15.75pt" o:ole="">
                  <v:imagedata r:id="rId7" o:title=""/>
                </v:shape>
                <w:control r:id="rId111" w:name="DefaultOcxName53" w:shapeid="_x0000_i1363"/>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A.</w:t>
            </w:r>
            <w:r w:rsidRPr="00467DE8">
              <w:rPr>
                <w:rFonts w:ascii="Segoe UI" w:eastAsia="宋体" w:hAnsi="Segoe UI" w:cs="Segoe UI"/>
                <w:color w:val="000000"/>
                <w:kern w:val="0"/>
                <w:sz w:val="18"/>
                <w:szCs w:val="18"/>
              </w:rPr>
              <w:t xml:space="preserve"> lowest coupon rate.</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62" type="#_x0000_t75" style="width:20.25pt;height:15.75pt" o:ole="">
                  <v:imagedata r:id="rId9" o:title=""/>
                </v:shape>
                <w:control r:id="rId112" w:name="DefaultOcxName133" w:shapeid="_x0000_i136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B.</w:t>
            </w:r>
            <w:r w:rsidRPr="00467DE8">
              <w:rPr>
                <w:rFonts w:ascii="Segoe UI" w:eastAsia="宋体" w:hAnsi="Segoe UI" w:cs="Segoe UI"/>
                <w:color w:val="000000"/>
                <w:kern w:val="0"/>
                <w:sz w:val="18"/>
                <w:szCs w:val="18"/>
              </w:rPr>
              <w:t xml:space="preserve"> highest coupon rate.</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61" type="#_x0000_t75" style="width:20.25pt;height:15.75pt" o:ole="">
                  <v:imagedata r:id="rId9" o:title=""/>
                </v:shape>
                <w:control r:id="rId113" w:name="DefaultOcxName233" w:shapeid="_x0000_i136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C.</w:t>
            </w:r>
            <w:r w:rsidRPr="00467DE8">
              <w:rPr>
                <w:rFonts w:ascii="Segoe UI" w:eastAsia="宋体" w:hAnsi="Segoe UI" w:cs="Segoe UI"/>
                <w:color w:val="000000"/>
                <w:kern w:val="0"/>
                <w:sz w:val="18"/>
                <w:szCs w:val="18"/>
              </w:rPr>
              <w:t xml:space="preserve"> coupon rate closest to its market yield.</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noWrap/>
            <w:vAlign w:val="center"/>
            <w:hideMark/>
          </w:tcPr>
          <w:p w:rsidR="00467DE8" w:rsidRPr="00467DE8" w:rsidRDefault="00467DE8" w:rsidP="00467DE8">
            <w:pPr>
              <w:widowControl/>
              <w:jc w:val="center"/>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0" w:type="auto"/>
            <w:gridSpan w:val="5"/>
            <w:shd w:val="clear" w:color="auto" w:fill="9ACD32"/>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b/>
                <w:bCs/>
                <w:color w:val="000080"/>
                <w:kern w:val="0"/>
                <w:sz w:val="16"/>
                <w:szCs w:val="16"/>
              </w:rPr>
              <w:t>Feedback:</w:t>
            </w:r>
            <w:r w:rsidRPr="00467DE8">
              <w:rPr>
                <w:rFonts w:ascii="Segoe UI" w:eastAsia="宋体" w:hAnsi="Segoe UI" w:cs="Segoe UI"/>
                <w:color w:val="333333"/>
                <w:kern w:val="0"/>
                <w:sz w:val="18"/>
                <w:szCs w:val="18"/>
              </w:rPr>
              <w:t xml:space="preserve"> You have answered correctly.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Correct answer: </w:t>
            </w:r>
            <w:r w:rsidRPr="00467DE8">
              <w:rPr>
                <w:rFonts w:ascii="Segoe UI" w:eastAsia="宋体" w:hAnsi="Segoe UI" w:cs="Segoe UI"/>
                <w:b/>
                <w:bCs/>
                <w:color w:val="333333"/>
                <w:kern w:val="0"/>
                <w:sz w:val="18"/>
                <w:szCs w:val="18"/>
              </w:rPr>
              <w:t>A</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"Risks Associated with Investing in Bonds," Frank J. </w:t>
            </w:r>
            <w:proofErr w:type="spellStart"/>
            <w:r w:rsidRPr="00467DE8">
              <w:rPr>
                <w:rFonts w:ascii="Segoe UI" w:eastAsia="宋体" w:hAnsi="Segoe UI" w:cs="Segoe UI"/>
                <w:color w:val="333333"/>
                <w:kern w:val="0"/>
                <w:sz w:val="18"/>
                <w:szCs w:val="18"/>
              </w:rPr>
              <w:t>Fabozzi</w:t>
            </w:r>
            <w:proofErr w:type="spellEnd"/>
            <w:r w:rsidRPr="00467DE8">
              <w:rPr>
                <w:rFonts w:ascii="Segoe UI" w:eastAsia="宋体" w:hAnsi="Segoe UI" w:cs="Segoe UI"/>
                <w:color w:val="333333"/>
                <w:kern w:val="0"/>
                <w:sz w:val="18"/>
                <w:szCs w:val="18"/>
              </w:rPr>
              <w:t>, CFA</w:t>
            </w:r>
            <w:r w:rsidRPr="00467DE8">
              <w:rPr>
                <w:rFonts w:ascii="Segoe UI" w:eastAsia="宋体" w:hAnsi="Segoe UI" w:cs="Segoe UI"/>
                <w:color w:val="333333"/>
                <w:kern w:val="0"/>
                <w:sz w:val="18"/>
                <w:szCs w:val="18"/>
              </w:rPr>
              <w:br/>
              <w:t>2011 Modular Level I, Vol. 5, p. 354</w:t>
            </w:r>
            <w:r w:rsidRPr="00467DE8">
              <w:rPr>
                <w:rFonts w:ascii="Segoe UI" w:eastAsia="宋体" w:hAnsi="Segoe UI" w:cs="Segoe UI"/>
                <w:color w:val="333333"/>
                <w:kern w:val="0"/>
                <w:sz w:val="18"/>
                <w:szCs w:val="18"/>
              </w:rPr>
              <w:br/>
              <w:t>Study Session 15–62–c</w:t>
            </w:r>
            <w:r w:rsidRPr="00467DE8">
              <w:rPr>
                <w:rFonts w:ascii="Segoe UI" w:eastAsia="宋体" w:hAnsi="Segoe UI" w:cs="Segoe UI"/>
                <w:color w:val="333333"/>
                <w:kern w:val="0"/>
                <w:sz w:val="18"/>
                <w:szCs w:val="18"/>
              </w:rPr>
              <w:br/>
              <w:t>Explain how features of a bond (e.g., maturity, coupon, and embedded options) and the level of a bond's yield affect the bond's interest rate risk.</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A lower coupon rate means that more of the bond's value comes from repayment of face value, which occurs at the end of the bond's life. </w:t>
            </w:r>
          </w:p>
        </w:tc>
      </w:tr>
    </w:tbl>
    <w:p w:rsidR="00467DE8" w:rsidRDefault="00467DE8">
      <w:pPr>
        <w:rPr>
          <w:rFonts w:hint="eastAsia"/>
        </w:rPr>
      </w:pPr>
    </w:p>
    <w:tbl>
      <w:tblPr>
        <w:tblW w:w="5000" w:type="pct"/>
        <w:tblCellSpacing w:w="15" w:type="dxa"/>
        <w:tblCellMar>
          <w:top w:w="30" w:type="dxa"/>
          <w:left w:w="30" w:type="dxa"/>
          <w:bottom w:w="30" w:type="dxa"/>
          <w:right w:w="30" w:type="dxa"/>
        </w:tblCellMar>
        <w:tblLook w:val="04A0"/>
      </w:tblPr>
      <w:tblGrid>
        <w:gridCol w:w="420"/>
        <w:gridCol w:w="598"/>
        <w:gridCol w:w="7135"/>
        <w:gridCol w:w="96"/>
        <w:gridCol w:w="96"/>
        <w:gridCol w:w="111"/>
      </w:tblGrid>
      <w:tr w:rsidR="00467DE8" w:rsidRPr="00467DE8" w:rsidTr="00467DE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67DE8" w:rsidRPr="00467DE8" w:rsidRDefault="00467DE8" w:rsidP="00467DE8">
            <w:pPr>
              <w:widowControl/>
              <w:jc w:val="left"/>
              <w:rPr>
                <w:rFonts w:ascii="Segoe UI" w:eastAsia="宋体" w:hAnsi="Segoe UI" w:cs="Segoe UI"/>
                <w:b/>
                <w:bCs/>
                <w:color w:val="000000"/>
                <w:kern w:val="0"/>
                <w:sz w:val="18"/>
                <w:szCs w:val="18"/>
              </w:rPr>
            </w:pPr>
            <w:r w:rsidRPr="00467DE8">
              <w:rPr>
                <w:rFonts w:ascii="Segoe UI" w:eastAsia="宋体" w:hAnsi="Segoe UI" w:cs="Segoe UI"/>
                <w:b/>
                <w:bCs/>
                <w:color w:val="000000"/>
                <w:kern w:val="0"/>
                <w:sz w:val="18"/>
                <w:szCs w:val="18"/>
              </w:rPr>
              <w:t>54</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Duration is not an accurate measure of yield-curve risk for a bond portfolio because it:</w:t>
            </w: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72" type="#_x0000_t75" style="width:20.25pt;height:15.75pt" o:ole="">
                  <v:imagedata r:id="rId7" o:title=""/>
                </v:shape>
                <w:control r:id="rId114" w:name="DefaultOcxName54" w:shapeid="_x0000_i1372"/>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A.</w:t>
            </w:r>
            <w:r w:rsidRPr="00467DE8">
              <w:rPr>
                <w:rFonts w:ascii="Segoe UI" w:eastAsia="宋体" w:hAnsi="Segoe UI" w:cs="Segoe UI"/>
                <w:color w:val="000000"/>
                <w:kern w:val="0"/>
                <w:sz w:val="18"/>
                <w:szCs w:val="18"/>
              </w:rPr>
              <w:t xml:space="preserve"> can be applied only to measure the risk of a single bond.</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71" type="#_x0000_t75" style="width:20.25pt;height:15.75pt" o:ole="">
                  <v:imagedata r:id="rId9" o:title=""/>
                </v:shape>
                <w:control r:id="rId115" w:name="DefaultOcxName134" w:shapeid="_x0000_i137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B.</w:t>
            </w:r>
            <w:r w:rsidRPr="00467DE8">
              <w:rPr>
                <w:rFonts w:ascii="Segoe UI" w:eastAsia="宋体" w:hAnsi="Segoe UI" w:cs="Segoe UI"/>
                <w:color w:val="000000"/>
                <w:kern w:val="0"/>
                <w:sz w:val="18"/>
                <w:szCs w:val="18"/>
              </w:rPr>
              <w:t xml:space="preserve"> assumes that the yield for all maturities change by the same amount.</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70" type="#_x0000_t75" style="width:20.25pt;height:15.75pt" o:ole="">
                  <v:imagedata r:id="rId9" o:title=""/>
                </v:shape>
                <w:control r:id="rId116" w:name="DefaultOcxName234" w:shapeid="_x0000_i137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C.</w:t>
            </w:r>
            <w:r w:rsidRPr="00467DE8">
              <w:rPr>
                <w:rFonts w:ascii="Segoe UI" w:eastAsia="宋体" w:hAnsi="Segoe UI" w:cs="Segoe UI"/>
                <w:color w:val="000000"/>
                <w:kern w:val="0"/>
                <w:sz w:val="18"/>
                <w:szCs w:val="18"/>
              </w:rPr>
              <w:t xml:space="preserve"> measures the impact of a change in the short-term, riskless rate of interest.</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noWrap/>
            <w:vAlign w:val="center"/>
            <w:hideMark/>
          </w:tcPr>
          <w:p w:rsidR="00467DE8" w:rsidRPr="00467DE8" w:rsidRDefault="00467DE8" w:rsidP="00467DE8">
            <w:pPr>
              <w:widowControl/>
              <w:jc w:val="center"/>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0" w:type="auto"/>
            <w:gridSpan w:val="5"/>
            <w:shd w:val="clear" w:color="auto" w:fill="FF6347"/>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b/>
                <w:bCs/>
                <w:color w:val="000080"/>
                <w:kern w:val="0"/>
                <w:sz w:val="16"/>
                <w:szCs w:val="16"/>
              </w:rPr>
              <w:t>Feedback:</w:t>
            </w:r>
            <w:r w:rsidRPr="00467DE8">
              <w:rPr>
                <w:rFonts w:ascii="Segoe UI" w:eastAsia="宋体" w:hAnsi="Segoe UI" w:cs="Segoe UI"/>
                <w:color w:val="333333"/>
                <w:kern w:val="0"/>
                <w:sz w:val="18"/>
                <w:szCs w:val="18"/>
              </w:rPr>
              <w:t xml:space="preserve"> You have answered incorrectly.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Correct answer: </w:t>
            </w:r>
            <w:r w:rsidRPr="00467DE8">
              <w:rPr>
                <w:rFonts w:ascii="Segoe UI" w:eastAsia="宋体" w:hAnsi="Segoe UI" w:cs="Segoe UI"/>
                <w:b/>
                <w:bCs/>
                <w:color w:val="333333"/>
                <w:kern w:val="0"/>
                <w:sz w:val="18"/>
                <w:szCs w:val="18"/>
              </w:rPr>
              <w:t>B</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"Risks Associated with Investing in Bonds," Frank J. </w:t>
            </w:r>
            <w:proofErr w:type="spellStart"/>
            <w:r w:rsidRPr="00467DE8">
              <w:rPr>
                <w:rFonts w:ascii="Segoe UI" w:eastAsia="宋体" w:hAnsi="Segoe UI" w:cs="Segoe UI"/>
                <w:color w:val="333333"/>
                <w:kern w:val="0"/>
                <w:sz w:val="18"/>
                <w:szCs w:val="18"/>
              </w:rPr>
              <w:t>Fabozzi</w:t>
            </w:r>
            <w:proofErr w:type="spellEnd"/>
            <w:r w:rsidRPr="00467DE8">
              <w:rPr>
                <w:rFonts w:ascii="Segoe UI" w:eastAsia="宋体" w:hAnsi="Segoe UI" w:cs="Segoe UI"/>
                <w:color w:val="333333"/>
                <w:kern w:val="0"/>
                <w:sz w:val="18"/>
                <w:szCs w:val="18"/>
              </w:rPr>
              <w:t>, CFA</w:t>
            </w:r>
            <w:r w:rsidRPr="00467DE8">
              <w:rPr>
                <w:rFonts w:ascii="Segoe UI" w:eastAsia="宋体" w:hAnsi="Segoe UI" w:cs="Segoe UI"/>
                <w:color w:val="333333"/>
                <w:kern w:val="0"/>
                <w:sz w:val="18"/>
                <w:szCs w:val="18"/>
              </w:rPr>
              <w:br/>
              <w:t>2011 Modular Level I, Vol. 5, pp. 359–363</w:t>
            </w:r>
            <w:r w:rsidRPr="00467DE8">
              <w:rPr>
                <w:rFonts w:ascii="Segoe UI" w:eastAsia="宋体" w:hAnsi="Segoe UI" w:cs="Segoe UI"/>
                <w:color w:val="333333"/>
                <w:kern w:val="0"/>
                <w:sz w:val="18"/>
                <w:szCs w:val="18"/>
              </w:rPr>
              <w:br/>
              <w:t>Study Session 15–62–g</w:t>
            </w:r>
            <w:r w:rsidRPr="00467DE8">
              <w:rPr>
                <w:rFonts w:ascii="Segoe UI" w:eastAsia="宋体" w:hAnsi="Segoe UI" w:cs="Segoe UI"/>
                <w:color w:val="333333"/>
                <w:kern w:val="0"/>
                <w:sz w:val="18"/>
                <w:szCs w:val="18"/>
              </w:rPr>
              <w:br/>
              <w:t>Describe yield-curve risk and explain why duration does not account for yield-curve risk for a portfolio of bonds.</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Duration measures the change in the price of a portfolio of bonds assuming that the yield for all maturities changes by the same amount. </w:t>
            </w:r>
          </w:p>
        </w:tc>
      </w:tr>
    </w:tbl>
    <w:p w:rsidR="00467DE8" w:rsidRDefault="00467DE8">
      <w:pPr>
        <w:rPr>
          <w:rFonts w:hint="eastAsia"/>
        </w:rPr>
      </w:pPr>
    </w:p>
    <w:tbl>
      <w:tblPr>
        <w:tblW w:w="5000" w:type="pct"/>
        <w:tblCellSpacing w:w="15" w:type="dxa"/>
        <w:tblCellMar>
          <w:top w:w="30" w:type="dxa"/>
          <w:left w:w="30" w:type="dxa"/>
          <w:bottom w:w="30" w:type="dxa"/>
          <w:right w:w="30" w:type="dxa"/>
        </w:tblCellMar>
        <w:tblLook w:val="04A0"/>
      </w:tblPr>
      <w:tblGrid>
        <w:gridCol w:w="420"/>
        <w:gridCol w:w="657"/>
        <w:gridCol w:w="7076"/>
        <w:gridCol w:w="96"/>
        <w:gridCol w:w="96"/>
        <w:gridCol w:w="111"/>
      </w:tblGrid>
      <w:tr w:rsidR="00467DE8" w:rsidRPr="00467DE8" w:rsidTr="00467DE8">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467DE8" w:rsidRPr="00467DE8" w:rsidRDefault="00467DE8" w:rsidP="00467DE8">
            <w:pPr>
              <w:widowControl/>
              <w:jc w:val="left"/>
              <w:rPr>
                <w:rFonts w:ascii="Segoe UI" w:eastAsia="宋体" w:hAnsi="Segoe UI" w:cs="Segoe UI"/>
                <w:b/>
                <w:bCs/>
                <w:color w:val="000000"/>
                <w:kern w:val="0"/>
                <w:sz w:val="18"/>
                <w:szCs w:val="18"/>
              </w:rPr>
            </w:pPr>
            <w:r w:rsidRPr="00467DE8">
              <w:rPr>
                <w:rFonts w:ascii="Segoe UI" w:eastAsia="宋体" w:hAnsi="Segoe UI" w:cs="Segoe UI"/>
                <w:b/>
                <w:bCs/>
                <w:color w:val="000000"/>
                <w:kern w:val="0"/>
                <w:sz w:val="18"/>
                <w:szCs w:val="18"/>
              </w:rPr>
              <w:t>55</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xml:space="preserve">An investor whose marginal tax rate is 33.5 percent is analyzing a tax-exempt bond offering a yield of 5.20 percent. The taxable equivalent yield of the bond is </w:t>
            </w:r>
            <w:r w:rsidRPr="00467DE8">
              <w:rPr>
                <w:rFonts w:ascii="Segoe UI" w:eastAsia="宋体" w:hAnsi="Segoe UI" w:cs="Segoe UI"/>
                <w:i/>
                <w:iCs/>
                <w:color w:val="333333"/>
                <w:kern w:val="0"/>
                <w:sz w:val="18"/>
                <w:szCs w:val="18"/>
              </w:rPr>
              <w:t>closest</w:t>
            </w:r>
            <w:r w:rsidRPr="00467DE8">
              <w:rPr>
                <w:rFonts w:ascii="Segoe UI" w:eastAsia="宋体" w:hAnsi="Segoe UI" w:cs="Segoe UI"/>
                <w:color w:val="333333"/>
                <w:kern w:val="0"/>
                <w:sz w:val="18"/>
                <w:szCs w:val="18"/>
              </w:rPr>
              <w:t xml:space="preserve"> to:</w:t>
            </w: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81" type="#_x0000_t75" style="width:20.25pt;height:15.75pt" o:ole="">
                  <v:imagedata r:id="rId7" o:title=""/>
                </v:shape>
                <w:control r:id="rId117" w:name="DefaultOcxName55" w:shapeid="_x0000_i1381"/>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A.</w:t>
            </w:r>
            <w:r w:rsidRPr="00467DE8">
              <w:rPr>
                <w:rFonts w:ascii="Segoe UI" w:eastAsia="宋体" w:hAnsi="Segoe UI" w:cs="Segoe UI"/>
                <w:color w:val="000000"/>
                <w:kern w:val="0"/>
                <w:sz w:val="18"/>
                <w:szCs w:val="18"/>
              </w:rPr>
              <w:t xml:space="preserve"> 3.46%.</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80" type="#_x0000_t75" style="width:20.25pt;height:15.75pt" o:ole="">
                  <v:imagedata r:id="rId9" o:title=""/>
                </v:shape>
                <w:control r:id="rId118" w:name="DefaultOcxName135" w:shapeid="_x0000_i138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B.</w:t>
            </w:r>
            <w:r w:rsidRPr="00467DE8">
              <w:rPr>
                <w:rFonts w:ascii="Segoe UI" w:eastAsia="宋体" w:hAnsi="Segoe UI" w:cs="Segoe UI"/>
                <w:color w:val="000000"/>
                <w:kern w:val="0"/>
                <w:sz w:val="18"/>
                <w:szCs w:val="18"/>
              </w:rPr>
              <w:t xml:space="preserve"> 6.94%.</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467DE8" w:rsidRPr="00467DE8" w:rsidRDefault="00467DE8" w:rsidP="00467DE8">
            <w:pPr>
              <w:widowControl/>
              <w:jc w:val="center"/>
              <w:rPr>
                <w:rFonts w:ascii="Segoe UI" w:eastAsia="宋体" w:hAnsi="Segoe UI" w:cs="Segoe UI"/>
                <w:color w:val="000000"/>
                <w:kern w:val="0"/>
                <w:sz w:val="18"/>
                <w:szCs w:val="18"/>
              </w:rPr>
            </w:pPr>
            <w:r w:rsidRPr="00467DE8">
              <w:rPr>
                <w:rFonts w:ascii="Segoe UI" w:eastAsia="宋体" w:hAnsi="Segoe UI" w:cs="Segoe UI"/>
                <w:color w:val="000000"/>
                <w:kern w:val="0"/>
                <w:sz w:val="18"/>
                <w:szCs w:val="18"/>
              </w:rPr>
              <w:object w:dxaOrig="1440" w:dyaOrig="1440">
                <v:shape id="_x0000_i1379" type="#_x0000_t75" style="width:20.25pt;height:15.75pt" o:ole="">
                  <v:imagedata r:id="rId9" o:title=""/>
                </v:shape>
                <w:control r:id="rId119" w:name="DefaultOcxName235" w:shapeid="_x0000_i137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467DE8" w:rsidRPr="00467DE8" w:rsidRDefault="00467DE8" w:rsidP="00467DE8">
            <w:pPr>
              <w:widowControl/>
              <w:jc w:val="left"/>
              <w:rPr>
                <w:rFonts w:ascii="Segoe UI" w:eastAsia="宋体" w:hAnsi="Segoe UI" w:cs="Segoe UI"/>
                <w:color w:val="000000"/>
                <w:kern w:val="0"/>
                <w:sz w:val="18"/>
                <w:szCs w:val="18"/>
              </w:rPr>
            </w:pPr>
            <w:r w:rsidRPr="00467DE8">
              <w:rPr>
                <w:rFonts w:ascii="Segoe UI" w:eastAsia="宋体" w:hAnsi="Segoe UI" w:cs="Segoe UI"/>
                <w:b/>
                <w:bCs/>
                <w:color w:val="000000"/>
                <w:kern w:val="0"/>
                <w:sz w:val="18"/>
                <w:szCs w:val="18"/>
              </w:rPr>
              <w:t>C.</w:t>
            </w:r>
            <w:r w:rsidRPr="00467DE8">
              <w:rPr>
                <w:rFonts w:ascii="Segoe UI" w:eastAsia="宋体" w:hAnsi="Segoe UI" w:cs="Segoe UI"/>
                <w:color w:val="000000"/>
                <w:kern w:val="0"/>
                <w:sz w:val="18"/>
                <w:szCs w:val="18"/>
              </w:rPr>
              <w:t xml:space="preserve"> 7.82%.</w:t>
            </w: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c>
          <w:tcPr>
            <w:tcW w:w="0" w:type="auto"/>
            <w:vAlign w:val="center"/>
            <w:hideMark/>
          </w:tcPr>
          <w:p w:rsidR="00467DE8" w:rsidRPr="00467DE8" w:rsidRDefault="00467DE8" w:rsidP="00467DE8">
            <w:pPr>
              <w:widowControl/>
              <w:jc w:val="left"/>
              <w:rPr>
                <w:rFonts w:ascii="Times New Roman" w:eastAsia="Times New Roman" w:hAnsi="Times New Roman" w:cs="Times New Roman"/>
                <w:kern w:val="0"/>
                <w:sz w:val="20"/>
                <w:szCs w:val="20"/>
              </w:rPr>
            </w:pPr>
          </w:p>
        </w:tc>
      </w:tr>
      <w:tr w:rsidR="00467DE8" w:rsidRPr="00467DE8" w:rsidTr="00467DE8">
        <w:trPr>
          <w:trHeight w:val="525"/>
          <w:tblCellSpacing w:w="15" w:type="dxa"/>
        </w:trPr>
        <w:tc>
          <w:tcPr>
            <w:tcW w:w="375" w:type="dxa"/>
            <w:noWrap/>
            <w:vAlign w:val="center"/>
            <w:hideMark/>
          </w:tcPr>
          <w:p w:rsidR="00467DE8" w:rsidRPr="00467DE8" w:rsidRDefault="00467DE8" w:rsidP="00467DE8">
            <w:pPr>
              <w:widowControl/>
              <w:jc w:val="center"/>
              <w:rPr>
                <w:rFonts w:ascii="Segoe UI" w:eastAsia="宋体" w:hAnsi="Segoe UI" w:cs="Segoe UI"/>
                <w:color w:val="333333"/>
                <w:kern w:val="0"/>
                <w:sz w:val="18"/>
                <w:szCs w:val="18"/>
              </w:rPr>
            </w:pPr>
            <w:r w:rsidRPr="00467DE8">
              <w:rPr>
                <w:rFonts w:ascii="Segoe UI" w:eastAsia="宋体" w:hAnsi="Segoe UI" w:cs="Segoe UI"/>
                <w:color w:val="333333"/>
                <w:kern w:val="0"/>
                <w:sz w:val="18"/>
                <w:szCs w:val="18"/>
              </w:rPr>
              <w:t> </w:t>
            </w:r>
          </w:p>
        </w:tc>
        <w:tc>
          <w:tcPr>
            <w:tcW w:w="0" w:type="auto"/>
            <w:gridSpan w:val="5"/>
            <w:shd w:val="clear" w:color="auto" w:fill="FF6347"/>
            <w:vAlign w:val="center"/>
            <w:hideMark/>
          </w:tcPr>
          <w:p w:rsidR="00467DE8" w:rsidRPr="00467DE8" w:rsidRDefault="00467DE8" w:rsidP="00467DE8">
            <w:pPr>
              <w:widowControl/>
              <w:jc w:val="left"/>
              <w:rPr>
                <w:rFonts w:ascii="Segoe UI" w:eastAsia="宋体" w:hAnsi="Segoe UI" w:cs="Segoe UI"/>
                <w:color w:val="333333"/>
                <w:kern w:val="0"/>
                <w:sz w:val="18"/>
                <w:szCs w:val="18"/>
              </w:rPr>
            </w:pPr>
            <w:r w:rsidRPr="00467DE8">
              <w:rPr>
                <w:rFonts w:ascii="Segoe UI" w:eastAsia="宋体" w:hAnsi="Segoe UI" w:cs="Segoe UI"/>
                <w:b/>
                <w:bCs/>
                <w:color w:val="000080"/>
                <w:kern w:val="0"/>
                <w:sz w:val="16"/>
                <w:szCs w:val="16"/>
              </w:rPr>
              <w:t>Feedback:</w:t>
            </w:r>
            <w:r w:rsidRPr="00467DE8">
              <w:rPr>
                <w:rFonts w:ascii="Segoe UI" w:eastAsia="宋体" w:hAnsi="Segoe UI" w:cs="Segoe UI"/>
                <w:color w:val="333333"/>
                <w:kern w:val="0"/>
                <w:sz w:val="18"/>
                <w:szCs w:val="18"/>
              </w:rPr>
              <w:t xml:space="preserve"> You have answered incorrectly.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Correct answer: </w:t>
            </w:r>
            <w:r w:rsidRPr="00467DE8">
              <w:rPr>
                <w:rFonts w:ascii="Segoe UI" w:eastAsia="宋体" w:hAnsi="Segoe UI" w:cs="Segoe UI"/>
                <w:b/>
                <w:bCs/>
                <w:color w:val="333333"/>
                <w:kern w:val="0"/>
                <w:sz w:val="18"/>
                <w:szCs w:val="18"/>
              </w:rPr>
              <w:t>C</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 xml:space="preserve">"Understanding Yield Spreads," Frank J. </w:t>
            </w:r>
            <w:proofErr w:type="spellStart"/>
            <w:r w:rsidRPr="00467DE8">
              <w:rPr>
                <w:rFonts w:ascii="Segoe UI" w:eastAsia="宋体" w:hAnsi="Segoe UI" w:cs="Segoe UI"/>
                <w:color w:val="333333"/>
                <w:kern w:val="0"/>
                <w:sz w:val="18"/>
                <w:szCs w:val="18"/>
              </w:rPr>
              <w:t>Fabozzi</w:t>
            </w:r>
            <w:proofErr w:type="spellEnd"/>
            <w:r w:rsidRPr="00467DE8">
              <w:rPr>
                <w:rFonts w:ascii="Segoe UI" w:eastAsia="宋体" w:hAnsi="Segoe UI" w:cs="Segoe UI"/>
                <w:color w:val="333333"/>
                <w:kern w:val="0"/>
                <w:sz w:val="18"/>
                <w:szCs w:val="18"/>
              </w:rPr>
              <w:t>, CFA</w:t>
            </w:r>
            <w:r w:rsidRPr="00467DE8">
              <w:rPr>
                <w:rFonts w:ascii="Segoe UI" w:eastAsia="宋体" w:hAnsi="Segoe UI" w:cs="Segoe UI"/>
                <w:color w:val="333333"/>
                <w:kern w:val="0"/>
                <w:sz w:val="18"/>
                <w:szCs w:val="18"/>
              </w:rPr>
              <w:br/>
              <w:t>2011 Modular Level I, Vol. 5, pp. 464–465</w:t>
            </w:r>
            <w:r w:rsidRPr="00467DE8">
              <w:rPr>
                <w:rFonts w:ascii="Segoe UI" w:eastAsia="宋体" w:hAnsi="Segoe UI" w:cs="Segoe UI"/>
                <w:color w:val="333333"/>
                <w:kern w:val="0"/>
                <w:sz w:val="18"/>
                <w:szCs w:val="18"/>
              </w:rPr>
              <w:br/>
              <w:t>Study Session 15–64–i</w:t>
            </w:r>
            <w:r w:rsidRPr="00467DE8">
              <w:rPr>
                <w:rFonts w:ascii="Segoe UI" w:eastAsia="宋体" w:hAnsi="Segoe UI" w:cs="Segoe UI"/>
                <w:color w:val="333333"/>
                <w:kern w:val="0"/>
                <w:sz w:val="18"/>
                <w:szCs w:val="18"/>
              </w:rPr>
              <w:br/>
              <w:t>Calculate the after-tax yield of a taxable security and the tax-equivalent yield of a tax-exempt security.</w:t>
            </w:r>
            <w:r w:rsidRPr="00467DE8">
              <w:rPr>
                <w:rFonts w:ascii="Segoe UI" w:eastAsia="宋体" w:hAnsi="Segoe UI" w:cs="Segoe UI"/>
                <w:color w:val="333333"/>
                <w:kern w:val="0"/>
                <w:sz w:val="18"/>
                <w:szCs w:val="18"/>
              </w:rPr>
              <w:br/>
            </w:r>
            <w:r w:rsidRPr="00467DE8">
              <w:rPr>
                <w:rFonts w:ascii="Segoe UI" w:eastAsia="宋体" w:hAnsi="Segoe UI" w:cs="Segoe UI"/>
                <w:color w:val="333333"/>
                <w:kern w:val="0"/>
                <w:sz w:val="18"/>
                <w:szCs w:val="18"/>
              </w:rPr>
              <w:br/>
              <w:t>The tax-equivalent yield = tax-exempt yield / (1 – marginal tax rate</w:t>
            </w:r>
            <w:proofErr w:type="gramStart"/>
            <w:r w:rsidRPr="00467DE8">
              <w:rPr>
                <w:rFonts w:ascii="Segoe UI" w:eastAsia="宋体" w:hAnsi="Segoe UI" w:cs="Segoe UI"/>
                <w:color w:val="333333"/>
                <w:kern w:val="0"/>
                <w:sz w:val="18"/>
                <w:szCs w:val="18"/>
              </w:rPr>
              <w:t>)</w:t>
            </w:r>
            <w:proofErr w:type="gramEnd"/>
            <w:r w:rsidRPr="00467DE8">
              <w:rPr>
                <w:rFonts w:ascii="Segoe UI" w:eastAsia="宋体" w:hAnsi="Segoe UI" w:cs="Segoe UI"/>
                <w:color w:val="333333"/>
                <w:kern w:val="0"/>
                <w:sz w:val="18"/>
                <w:szCs w:val="18"/>
              </w:rPr>
              <w:br/>
              <w:t>= 5.20% / (1 – 0.335) = 7.82%. </w:t>
            </w:r>
          </w:p>
        </w:tc>
      </w:tr>
    </w:tbl>
    <w:p w:rsidR="00467DE8" w:rsidRDefault="00467DE8">
      <w:pPr>
        <w:rPr>
          <w:rFonts w:hint="eastAsia"/>
        </w:rPr>
      </w:pPr>
    </w:p>
    <w:tbl>
      <w:tblPr>
        <w:tblW w:w="5000" w:type="pct"/>
        <w:tblCellSpacing w:w="15" w:type="dxa"/>
        <w:tblCellMar>
          <w:top w:w="30" w:type="dxa"/>
          <w:left w:w="30" w:type="dxa"/>
          <w:bottom w:w="30" w:type="dxa"/>
          <w:right w:w="30" w:type="dxa"/>
        </w:tblCellMar>
        <w:tblLook w:val="04A0"/>
      </w:tblPr>
      <w:tblGrid>
        <w:gridCol w:w="420"/>
        <w:gridCol w:w="657"/>
        <w:gridCol w:w="7076"/>
        <w:gridCol w:w="96"/>
        <w:gridCol w:w="96"/>
        <w:gridCol w:w="111"/>
      </w:tblGrid>
      <w:tr w:rsidR="008144A9" w:rsidRPr="008144A9" w:rsidTr="008144A9">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8144A9" w:rsidRPr="008144A9" w:rsidRDefault="008144A9" w:rsidP="008144A9">
            <w:pPr>
              <w:widowControl/>
              <w:jc w:val="left"/>
              <w:rPr>
                <w:rFonts w:ascii="Segoe UI" w:eastAsia="宋体" w:hAnsi="Segoe UI" w:cs="Segoe UI"/>
                <w:b/>
                <w:bCs/>
                <w:color w:val="000000"/>
                <w:kern w:val="0"/>
                <w:sz w:val="18"/>
                <w:szCs w:val="18"/>
              </w:rPr>
            </w:pPr>
            <w:r w:rsidRPr="008144A9">
              <w:rPr>
                <w:rFonts w:ascii="Segoe UI" w:eastAsia="宋体" w:hAnsi="Segoe UI" w:cs="Segoe UI"/>
                <w:b/>
                <w:bCs/>
                <w:color w:val="000000"/>
                <w:kern w:val="0"/>
                <w:sz w:val="18"/>
                <w:szCs w:val="18"/>
              </w:rPr>
              <w:t>56</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8144A9" w:rsidRPr="008144A9" w:rsidRDefault="008144A9" w:rsidP="008144A9">
            <w:pPr>
              <w:widowControl/>
              <w:jc w:val="left"/>
              <w:rPr>
                <w:rFonts w:ascii="Segoe UI" w:eastAsia="宋体" w:hAnsi="Segoe UI" w:cs="Segoe UI"/>
                <w:color w:val="333333"/>
                <w:kern w:val="0"/>
                <w:sz w:val="18"/>
                <w:szCs w:val="18"/>
              </w:rPr>
            </w:pPr>
            <w:r w:rsidRPr="008144A9">
              <w:rPr>
                <w:rFonts w:ascii="Segoe UI" w:eastAsia="宋体" w:hAnsi="Segoe UI" w:cs="Segoe UI"/>
                <w:color w:val="333333"/>
                <w:kern w:val="0"/>
                <w:sz w:val="18"/>
                <w:szCs w:val="18"/>
              </w:rPr>
              <w:t xml:space="preserve">If the yield on a 5-year U.S. corporate bond is 7.39 percent and the yield on a 5-year U.S. Treasury note is 4.26 percent, the relative yield spread of the bond is </w:t>
            </w:r>
            <w:r w:rsidRPr="008144A9">
              <w:rPr>
                <w:rFonts w:ascii="Segoe UI" w:eastAsia="宋体" w:hAnsi="Segoe UI" w:cs="Segoe UI"/>
                <w:i/>
                <w:iCs/>
                <w:color w:val="333333"/>
                <w:kern w:val="0"/>
                <w:sz w:val="18"/>
                <w:szCs w:val="18"/>
              </w:rPr>
              <w:t>closest</w:t>
            </w:r>
            <w:r w:rsidRPr="008144A9">
              <w:rPr>
                <w:rFonts w:ascii="Segoe UI" w:eastAsia="宋体" w:hAnsi="Segoe UI" w:cs="Segoe UI"/>
                <w:color w:val="333333"/>
                <w:kern w:val="0"/>
                <w:sz w:val="18"/>
                <w:szCs w:val="18"/>
              </w:rPr>
              <w:t xml:space="preserve"> to:</w:t>
            </w:r>
          </w:p>
        </w:tc>
      </w:tr>
      <w:tr w:rsidR="008144A9" w:rsidRPr="008144A9" w:rsidTr="008144A9">
        <w:trPr>
          <w:trHeight w:val="525"/>
          <w:tblCellSpacing w:w="15" w:type="dxa"/>
        </w:trPr>
        <w:tc>
          <w:tcPr>
            <w:tcW w:w="375" w:type="dxa"/>
            <w:vAlign w:val="center"/>
            <w:hideMark/>
          </w:tcPr>
          <w:p w:rsidR="008144A9" w:rsidRPr="008144A9" w:rsidRDefault="008144A9" w:rsidP="008144A9">
            <w:pPr>
              <w:widowControl/>
              <w:jc w:val="left"/>
              <w:rPr>
                <w:rFonts w:ascii="Segoe UI" w:eastAsia="宋体" w:hAnsi="Segoe UI" w:cs="Segoe UI"/>
                <w:color w:val="333333"/>
                <w:kern w:val="0"/>
                <w:sz w:val="18"/>
                <w:szCs w:val="18"/>
              </w:rPr>
            </w:pPr>
            <w:r w:rsidRPr="008144A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144A9" w:rsidRPr="008144A9" w:rsidRDefault="008144A9" w:rsidP="008144A9">
            <w:pPr>
              <w:widowControl/>
              <w:jc w:val="center"/>
              <w:rPr>
                <w:rFonts w:ascii="Segoe UI" w:eastAsia="宋体" w:hAnsi="Segoe UI" w:cs="Segoe UI"/>
                <w:color w:val="000000"/>
                <w:kern w:val="0"/>
                <w:sz w:val="18"/>
                <w:szCs w:val="18"/>
              </w:rPr>
            </w:pPr>
            <w:r w:rsidRPr="008144A9">
              <w:rPr>
                <w:rFonts w:ascii="Segoe UI" w:eastAsia="宋体" w:hAnsi="Segoe UI" w:cs="Segoe UI"/>
                <w:color w:val="000000"/>
                <w:kern w:val="0"/>
                <w:sz w:val="18"/>
                <w:szCs w:val="18"/>
              </w:rPr>
              <w:object w:dxaOrig="1440" w:dyaOrig="1440">
                <v:shape id="_x0000_i1390" type="#_x0000_t75" style="width:20.25pt;height:15.75pt" o:ole="">
                  <v:imagedata r:id="rId7" o:title=""/>
                </v:shape>
                <w:control r:id="rId120" w:name="DefaultOcxName56" w:shapeid="_x0000_i139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144A9" w:rsidRPr="008144A9" w:rsidRDefault="008144A9" w:rsidP="008144A9">
            <w:pPr>
              <w:widowControl/>
              <w:jc w:val="left"/>
              <w:rPr>
                <w:rFonts w:ascii="Segoe UI" w:eastAsia="宋体" w:hAnsi="Segoe UI" w:cs="Segoe UI"/>
                <w:color w:val="000000"/>
                <w:kern w:val="0"/>
                <w:sz w:val="18"/>
                <w:szCs w:val="18"/>
              </w:rPr>
            </w:pPr>
            <w:r w:rsidRPr="008144A9">
              <w:rPr>
                <w:rFonts w:ascii="Segoe UI" w:eastAsia="宋体" w:hAnsi="Segoe UI" w:cs="Segoe UI"/>
                <w:b/>
                <w:bCs/>
                <w:color w:val="000000"/>
                <w:kern w:val="0"/>
                <w:sz w:val="18"/>
                <w:szCs w:val="18"/>
              </w:rPr>
              <w:t>A.</w:t>
            </w:r>
            <w:r w:rsidRPr="008144A9">
              <w:rPr>
                <w:rFonts w:ascii="Segoe UI" w:eastAsia="宋体" w:hAnsi="Segoe UI" w:cs="Segoe UI"/>
                <w:color w:val="000000"/>
                <w:kern w:val="0"/>
                <w:sz w:val="18"/>
                <w:szCs w:val="18"/>
              </w:rPr>
              <w:t xml:space="preserve"> 3.13%.</w:t>
            </w: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r>
      <w:tr w:rsidR="008144A9" w:rsidRPr="008144A9" w:rsidTr="008144A9">
        <w:trPr>
          <w:trHeight w:val="525"/>
          <w:tblCellSpacing w:w="15" w:type="dxa"/>
        </w:trPr>
        <w:tc>
          <w:tcPr>
            <w:tcW w:w="375" w:type="dxa"/>
            <w:vAlign w:val="center"/>
            <w:hideMark/>
          </w:tcPr>
          <w:p w:rsidR="008144A9" w:rsidRPr="008144A9" w:rsidRDefault="008144A9" w:rsidP="008144A9">
            <w:pPr>
              <w:widowControl/>
              <w:jc w:val="left"/>
              <w:rPr>
                <w:rFonts w:ascii="Segoe UI" w:eastAsia="宋体" w:hAnsi="Segoe UI" w:cs="Segoe UI"/>
                <w:color w:val="333333"/>
                <w:kern w:val="0"/>
                <w:sz w:val="18"/>
                <w:szCs w:val="18"/>
              </w:rPr>
            </w:pPr>
            <w:r w:rsidRPr="008144A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144A9" w:rsidRPr="008144A9" w:rsidRDefault="008144A9" w:rsidP="008144A9">
            <w:pPr>
              <w:widowControl/>
              <w:jc w:val="center"/>
              <w:rPr>
                <w:rFonts w:ascii="Segoe UI" w:eastAsia="宋体" w:hAnsi="Segoe UI" w:cs="Segoe UI"/>
                <w:color w:val="000000"/>
                <w:kern w:val="0"/>
                <w:sz w:val="18"/>
                <w:szCs w:val="18"/>
              </w:rPr>
            </w:pPr>
            <w:r w:rsidRPr="008144A9">
              <w:rPr>
                <w:rFonts w:ascii="Segoe UI" w:eastAsia="宋体" w:hAnsi="Segoe UI" w:cs="Segoe UI"/>
                <w:color w:val="000000"/>
                <w:kern w:val="0"/>
                <w:sz w:val="18"/>
                <w:szCs w:val="18"/>
              </w:rPr>
              <w:object w:dxaOrig="1440" w:dyaOrig="1440">
                <v:shape id="_x0000_i1389" type="#_x0000_t75" style="width:20.25pt;height:15.75pt" o:ole="">
                  <v:imagedata r:id="rId9" o:title=""/>
                </v:shape>
                <w:control r:id="rId121" w:name="DefaultOcxName136" w:shapeid="_x0000_i138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144A9" w:rsidRPr="008144A9" w:rsidRDefault="008144A9" w:rsidP="008144A9">
            <w:pPr>
              <w:widowControl/>
              <w:jc w:val="left"/>
              <w:rPr>
                <w:rFonts w:ascii="Segoe UI" w:eastAsia="宋体" w:hAnsi="Segoe UI" w:cs="Segoe UI"/>
                <w:color w:val="000000"/>
                <w:kern w:val="0"/>
                <w:sz w:val="18"/>
                <w:szCs w:val="18"/>
              </w:rPr>
            </w:pPr>
            <w:r w:rsidRPr="008144A9">
              <w:rPr>
                <w:rFonts w:ascii="Segoe UI" w:eastAsia="宋体" w:hAnsi="Segoe UI" w:cs="Segoe UI"/>
                <w:b/>
                <w:bCs/>
                <w:color w:val="000000"/>
                <w:kern w:val="0"/>
                <w:sz w:val="18"/>
                <w:szCs w:val="18"/>
              </w:rPr>
              <w:t>B.</w:t>
            </w:r>
            <w:r w:rsidRPr="008144A9">
              <w:rPr>
                <w:rFonts w:ascii="Segoe UI" w:eastAsia="宋体" w:hAnsi="Segoe UI" w:cs="Segoe UI"/>
                <w:color w:val="000000"/>
                <w:kern w:val="0"/>
                <w:sz w:val="18"/>
                <w:szCs w:val="18"/>
              </w:rPr>
              <w:t xml:space="preserve"> 42.4%</w:t>
            </w: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r>
      <w:tr w:rsidR="008144A9" w:rsidRPr="008144A9" w:rsidTr="008144A9">
        <w:trPr>
          <w:trHeight w:val="525"/>
          <w:tblCellSpacing w:w="15" w:type="dxa"/>
        </w:trPr>
        <w:tc>
          <w:tcPr>
            <w:tcW w:w="375" w:type="dxa"/>
            <w:vAlign w:val="center"/>
            <w:hideMark/>
          </w:tcPr>
          <w:p w:rsidR="008144A9" w:rsidRPr="008144A9" w:rsidRDefault="008144A9" w:rsidP="008144A9">
            <w:pPr>
              <w:widowControl/>
              <w:jc w:val="left"/>
              <w:rPr>
                <w:rFonts w:ascii="Segoe UI" w:eastAsia="宋体" w:hAnsi="Segoe UI" w:cs="Segoe UI"/>
                <w:color w:val="333333"/>
                <w:kern w:val="0"/>
                <w:sz w:val="18"/>
                <w:szCs w:val="18"/>
              </w:rPr>
            </w:pPr>
            <w:r w:rsidRPr="008144A9">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8144A9" w:rsidRPr="008144A9" w:rsidRDefault="008144A9" w:rsidP="008144A9">
            <w:pPr>
              <w:widowControl/>
              <w:jc w:val="center"/>
              <w:rPr>
                <w:rFonts w:ascii="Segoe UI" w:eastAsia="宋体" w:hAnsi="Segoe UI" w:cs="Segoe UI"/>
                <w:color w:val="000000"/>
                <w:kern w:val="0"/>
                <w:sz w:val="18"/>
                <w:szCs w:val="18"/>
              </w:rPr>
            </w:pPr>
            <w:r w:rsidRPr="008144A9">
              <w:rPr>
                <w:rFonts w:ascii="Segoe UI" w:eastAsia="宋体" w:hAnsi="Segoe UI" w:cs="Segoe UI"/>
                <w:color w:val="000000"/>
                <w:kern w:val="0"/>
                <w:sz w:val="18"/>
                <w:szCs w:val="18"/>
              </w:rPr>
              <w:object w:dxaOrig="1440" w:dyaOrig="1440">
                <v:shape id="_x0000_i1388" type="#_x0000_t75" style="width:20.25pt;height:15.75pt" o:ole="">
                  <v:imagedata r:id="rId9" o:title=""/>
                </v:shape>
                <w:control r:id="rId122" w:name="DefaultOcxName236" w:shapeid="_x0000_i138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8144A9" w:rsidRPr="008144A9" w:rsidRDefault="008144A9" w:rsidP="008144A9">
            <w:pPr>
              <w:widowControl/>
              <w:jc w:val="left"/>
              <w:rPr>
                <w:rFonts w:ascii="Segoe UI" w:eastAsia="宋体" w:hAnsi="Segoe UI" w:cs="Segoe UI"/>
                <w:color w:val="000000"/>
                <w:kern w:val="0"/>
                <w:sz w:val="18"/>
                <w:szCs w:val="18"/>
              </w:rPr>
            </w:pPr>
            <w:r w:rsidRPr="008144A9">
              <w:rPr>
                <w:rFonts w:ascii="Segoe UI" w:eastAsia="宋体" w:hAnsi="Segoe UI" w:cs="Segoe UI"/>
                <w:b/>
                <w:bCs/>
                <w:color w:val="000000"/>
                <w:kern w:val="0"/>
                <w:sz w:val="18"/>
                <w:szCs w:val="18"/>
              </w:rPr>
              <w:t>C.</w:t>
            </w:r>
            <w:r w:rsidRPr="008144A9">
              <w:rPr>
                <w:rFonts w:ascii="Segoe UI" w:eastAsia="宋体" w:hAnsi="Segoe UI" w:cs="Segoe UI"/>
                <w:color w:val="000000"/>
                <w:kern w:val="0"/>
                <w:sz w:val="18"/>
                <w:szCs w:val="18"/>
              </w:rPr>
              <w:t xml:space="preserve"> 73.5%.</w:t>
            </w: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c>
          <w:tcPr>
            <w:tcW w:w="0" w:type="auto"/>
            <w:vAlign w:val="center"/>
            <w:hideMark/>
          </w:tcPr>
          <w:p w:rsidR="008144A9" w:rsidRPr="008144A9" w:rsidRDefault="008144A9" w:rsidP="008144A9">
            <w:pPr>
              <w:widowControl/>
              <w:jc w:val="left"/>
              <w:rPr>
                <w:rFonts w:ascii="Times New Roman" w:eastAsia="Times New Roman" w:hAnsi="Times New Roman" w:cs="Times New Roman"/>
                <w:kern w:val="0"/>
                <w:sz w:val="20"/>
                <w:szCs w:val="20"/>
              </w:rPr>
            </w:pPr>
          </w:p>
        </w:tc>
      </w:tr>
      <w:tr w:rsidR="008144A9" w:rsidRPr="008144A9" w:rsidTr="008144A9">
        <w:trPr>
          <w:trHeight w:val="525"/>
          <w:tblCellSpacing w:w="15" w:type="dxa"/>
        </w:trPr>
        <w:tc>
          <w:tcPr>
            <w:tcW w:w="375" w:type="dxa"/>
            <w:noWrap/>
            <w:vAlign w:val="center"/>
            <w:hideMark/>
          </w:tcPr>
          <w:p w:rsidR="008144A9" w:rsidRPr="008144A9" w:rsidRDefault="008144A9" w:rsidP="008144A9">
            <w:pPr>
              <w:widowControl/>
              <w:jc w:val="center"/>
              <w:rPr>
                <w:rFonts w:ascii="Segoe UI" w:eastAsia="宋体" w:hAnsi="Segoe UI" w:cs="Segoe UI"/>
                <w:color w:val="333333"/>
                <w:kern w:val="0"/>
                <w:sz w:val="18"/>
                <w:szCs w:val="18"/>
              </w:rPr>
            </w:pPr>
            <w:r w:rsidRPr="008144A9">
              <w:rPr>
                <w:rFonts w:ascii="Segoe UI" w:eastAsia="宋体" w:hAnsi="Segoe UI" w:cs="Segoe UI"/>
                <w:color w:val="333333"/>
                <w:kern w:val="0"/>
                <w:sz w:val="18"/>
                <w:szCs w:val="18"/>
              </w:rPr>
              <w:t> </w:t>
            </w:r>
          </w:p>
        </w:tc>
        <w:tc>
          <w:tcPr>
            <w:tcW w:w="0" w:type="auto"/>
            <w:gridSpan w:val="5"/>
            <w:shd w:val="clear" w:color="auto" w:fill="FF6347"/>
            <w:vAlign w:val="center"/>
            <w:hideMark/>
          </w:tcPr>
          <w:p w:rsidR="008144A9" w:rsidRPr="008144A9" w:rsidRDefault="008144A9" w:rsidP="008144A9">
            <w:pPr>
              <w:widowControl/>
              <w:jc w:val="left"/>
              <w:rPr>
                <w:rFonts w:ascii="Segoe UI" w:eastAsia="宋体" w:hAnsi="Segoe UI" w:cs="Segoe UI"/>
                <w:color w:val="333333"/>
                <w:kern w:val="0"/>
                <w:sz w:val="18"/>
                <w:szCs w:val="18"/>
              </w:rPr>
            </w:pPr>
            <w:r w:rsidRPr="008144A9">
              <w:rPr>
                <w:rFonts w:ascii="Segoe UI" w:eastAsia="宋体" w:hAnsi="Segoe UI" w:cs="Segoe UI"/>
                <w:b/>
                <w:bCs/>
                <w:color w:val="000080"/>
                <w:kern w:val="0"/>
                <w:sz w:val="16"/>
                <w:szCs w:val="16"/>
              </w:rPr>
              <w:t>Feedback:</w:t>
            </w:r>
            <w:r w:rsidRPr="008144A9">
              <w:rPr>
                <w:rFonts w:ascii="Segoe UI" w:eastAsia="宋体" w:hAnsi="Segoe UI" w:cs="Segoe UI"/>
                <w:color w:val="333333"/>
                <w:kern w:val="0"/>
                <w:sz w:val="18"/>
                <w:szCs w:val="18"/>
              </w:rPr>
              <w:t xml:space="preserve"> You have answered incorrectly.</w:t>
            </w:r>
            <w:r w:rsidRPr="008144A9">
              <w:rPr>
                <w:rFonts w:ascii="Segoe UI" w:eastAsia="宋体" w:hAnsi="Segoe UI" w:cs="Segoe UI"/>
                <w:color w:val="333333"/>
                <w:kern w:val="0"/>
                <w:sz w:val="18"/>
                <w:szCs w:val="18"/>
              </w:rPr>
              <w:br/>
            </w:r>
            <w:r w:rsidRPr="008144A9">
              <w:rPr>
                <w:rFonts w:ascii="Segoe UI" w:eastAsia="宋体" w:hAnsi="Segoe UI" w:cs="Segoe UI"/>
                <w:color w:val="333333"/>
                <w:kern w:val="0"/>
                <w:sz w:val="18"/>
                <w:szCs w:val="18"/>
              </w:rPr>
              <w:br/>
              <w:t xml:space="preserve">Correct answer: </w:t>
            </w:r>
            <w:r w:rsidRPr="008144A9">
              <w:rPr>
                <w:rFonts w:ascii="Segoe UI" w:eastAsia="宋体" w:hAnsi="Segoe UI" w:cs="Segoe UI"/>
                <w:b/>
                <w:bCs/>
                <w:color w:val="333333"/>
                <w:kern w:val="0"/>
                <w:sz w:val="18"/>
                <w:szCs w:val="18"/>
              </w:rPr>
              <w:t>C</w:t>
            </w:r>
            <w:r w:rsidRPr="008144A9">
              <w:rPr>
                <w:rFonts w:ascii="Segoe UI" w:eastAsia="宋体" w:hAnsi="Segoe UI" w:cs="Segoe UI"/>
                <w:color w:val="333333"/>
                <w:kern w:val="0"/>
                <w:sz w:val="18"/>
                <w:szCs w:val="18"/>
              </w:rPr>
              <w:br/>
            </w:r>
            <w:r w:rsidRPr="008144A9">
              <w:rPr>
                <w:rFonts w:ascii="Segoe UI" w:eastAsia="宋体" w:hAnsi="Segoe UI" w:cs="Segoe UI"/>
                <w:color w:val="333333"/>
                <w:kern w:val="0"/>
                <w:sz w:val="18"/>
                <w:szCs w:val="18"/>
              </w:rPr>
              <w:br/>
              <w:t xml:space="preserve">"Understanding Yield Spreads," Frank J. </w:t>
            </w:r>
            <w:proofErr w:type="spellStart"/>
            <w:r w:rsidRPr="008144A9">
              <w:rPr>
                <w:rFonts w:ascii="Segoe UI" w:eastAsia="宋体" w:hAnsi="Segoe UI" w:cs="Segoe UI"/>
                <w:color w:val="333333"/>
                <w:kern w:val="0"/>
                <w:sz w:val="18"/>
                <w:szCs w:val="18"/>
              </w:rPr>
              <w:t>Fabozzi</w:t>
            </w:r>
            <w:proofErr w:type="spellEnd"/>
            <w:r w:rsidRPr="008144A9">
              <w:rPr>
                <w:rFonts w:ascii="Segoe UI" w:eastAsia="宋体" w:hAnsi="Segoe UI" w:cs="Segoe UI"/>
                <w:color w:val="333333"/>
                <w:kern w:val="0"/>
                <w:sz w:val="18"/>
                <w:szCs w:val="18"/>
              </w:rPr>
              <w:t>, CFA</w:t>
            </w:r>
            <w:r w:rsidRPr="008144A9">
              <w:rPr>
                <w:rFonts w:ascii="Segoe UI" w:eastAsia="宋体" w:hAnsi="Segoe UI" w:cs="Segoe UI"/>
                <w:color w:val="333333"/>
                <w:kern w:val="0"/>
                <w:sz w:val="18"/>
                <w:szCs w:val="18"/>
              </w:rPr>
              <w:br/>
              <w:t>2011 Modular Level I, Vol. 5, pp. 456–457</w:t>
            </w:r>
            <w:r w:rsidRPr="008144A9">
              <w:rPr>
                <w:rFonts w:ascii="Segoe UI" w:eastAsia="宋体" w:hAnsi="Segoe UI" w:cs="Segoe UI"/>
                <w:color w:val="333333"/>
                <w:kern w:val="0"/>
                <w:sz w:val="18"/>
                <w:szCs w:val="18"/>
              </w:rPr>
              <w:br/>
              <w:t>Study Session 15–64–e</w:t>
            </w:r>
            <w:r w:rsidRPr="008144A9">
              <w:rPr>
                <w:rFonts w:ascii="Segoe UI" w:eastAsia="宋体" w:hAnsi="Segoe UI" w:cs="Segoe UI"/>
                <w:color w:val="333333"/>
                <w:kern w:val="0"/>
                <w:sz w:val="18"/>
                <w:szCs w:val="18"/>
              </w:rPr>
              <w:br/>
              <w:t>Calculate, compare, and contrast the various yield spread measures.</w:t>
            </w:r>
            <w:r w:rsidRPr="008144A9">
              <w:rPr>
                <w:rFonts w:ascii="Segoe UI" w:eastAsia="宋体" w:hAnsi="Segoe UI" w:cs="Segoe UI"/>
                <w:color w:val="333333"/>
                <w:kern w:val="0"/>
                <w:sz w:val="18"/>
                <w:szCs w:val="18"/>
              </w:rPr>
              <w:br/>
            </w:r>
            <w:r w:rsidRPr="008144A9">
              <w:rPr>
                <w:rFonts w:ascii="Segoe UI" w:eastAsia="宋体" w:hAnsi="Segoe UI" w:cs="Segoe UI"/>
                <w:color w:val="333333"/>
                <w:kern w:val="0"/>
                <w:sz w:val="18"/>
                <w:szCs w:val="18"/>
              </w:rPr>
              <w:br/>
              <w:t>The relative yield spread = (bond yield – reference yield) / reference yield</w:t>
            </w:r>
            <w:r w:rsidRPr="008144A9">
              <w:rPr>
                <w:rFonts w:ascii="Segoe UI" w:eastAsia="宋体" w:hAnsi="Segoe UI" w:cs="Segoe UI"/>
                <w:color w:val="333333"/>
                <w:kern w:val="0"/>
                <w:sz w:val="18"/>
                <w:szCs w:val="18"/>
              </w:rPr>
              <w:br/>
              <w:t>= (7.39% – 4.26%) / 4.26% = 73.5%. </w:t>
            </w:r>
          </w:p>
        </w:tc>
      </w:tr>
    </w:tbl>
    <w:p w:rsidR="00467DE8" w:rsidRDefault="00467DE8">
      <w:pPr>
        <w:rPr>
          <w:rFonts w:hint="eastAsia"/>
        </w:rPr>
      </w:pPr>
    </w:p>
    <w:tbl>
      <w:tblPr>
        <w:tblW w:w="5000" w:type="pct"/>
        <w:tblCellSpacing w:w="15" w:type="dxa"/>
        <w:tblCellMar>
          <w:top w:w="30" w:type="dxa"/>
          <w:left w:w="30" w:type="dxa"/>
          <w:bottom w:w="30" w:type="dxa"/>
          <w:right w:w="30" w:type="dxa"/>
        </w:tblCellMar>
        <w:tblLook w:val="04A0"/>
      </w:tblPr>
      <w:tblGrid>
        <w:gridCol w:w="420"/>
        <w:gridCol w:w="653"/>
        <w:gridCol w:w="7080"/>
        <w:gridCol w:w="96"/>
        <w:gridCol w:w="96"/>
        <w:gridCol w:w="111"/>
      </w:tblGrid>
      <w:tr w:rsidR="00174706" w:rsidRPr="00174706" w:rsidTr="0017470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74706" w:rsidRPr="00174706" w:rsidRDefault="00174706" w:rsidP="00174706">
            <w:pPr>
              <w:widowControl/>
              <w:jc w:val="left"/>
              <w:rPr>
                <w:rFonts w:ascii="Segoe UI" w:eastAsia="宋体" w:hAnsi="Segoe UI" w:cs="Segoe UI"/>
                <w:b/>
                <w:bCs/>
                <w:color w:val="000000"/>
                <w:kern w:val="0"/>
                <w:sz w:val="18"/>
                <w:szCs w:val="18"/>
              </w:rPr>
            </w:pPr>
            <w:r w:rsidRPr="00174706">
              <w:rPr>
                <w:rFonts w:ascii="Segoe UI" w:eastAsia="宋体" w:hAnsi="Segoe UI" w:cs="Segoe UI"/>
                <w:b/>
                <w:bCs/>
                <w:color w:val="000000"/>
                <w:kern w:val="0"/>
                <w:sz w:val="18"/>
                <w:szCs w:val="18"/>
              </w:rPr>
              <w:t>57</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xml:space="preserve">Consider a $100 par value bond, with an 8 percent coupon paid annually, maturing in 20 years. If the bond currently sells for $96.47, the yield to maturity is </w:t>
            </w:r>
            <w:r w:rsidRPr="00174706">
              <w:rPr>
                <w:rFonts w:ascii="Segoe UI" w:eastAsia="宋体" w:hAnsi="Segoe UI" w:cs="Segoe UI"/>
                <w:i/>
                <w:iCs/>
                <w:color w:val="333333"/>
                <w:kern w:val="0"/>
                <w:sz w:val="18"/>
                <w:szCs w:val="18"/>
              </w:rPr>
              <w:t>closest</w:t>
            </w:r>
            <w:r w:rsidRPr="00174706">
              <w:rPr>
                <w:rFonts w:ascii="Segoe UI" w:eastAsia="宋体" w:hAnsi="Segoe UI" w:cs="Segoe UI"/>
                <w:color w:val="333333"/>
                <w:kern w:val="0"/>
                <w:sz w:val="18"/>
                <w:szCs w:val="18"/>
              </w:rPr>
              <w:t xml:space="preserve"> to:</w:t>
            </w: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399" type="#_x0000_t75" style="width:20.25pt;height:15.75pt" o:ole="">
                  <v:imagedata r:id="rId7" o:title=""/>
                </v:shape>
                <w:control r:id="rId123" w:name="DefaultOcxName57" w:shapeid="_x0000_i139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A.</w:t>
            </w:r>
            <w:r w:rsidRPr="00174706">
              <w:rPr>
                <w:rFonts w:ascii="Segoe UI" w:eastAsia="宋体" w:hAnsi="Segoe UI" w:cs="Segoe UI"/>
                <w:color w:val="000000"/>
                <w:kern w:val="0"/>
                <w:sz w:val="18"/>
                <w:szCs w:val="18"/>
              </w:rPr>
              <w:t xml:space="preserve"> 8.29%.</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398" type="#_x0000_t75" style="width:20.25pt;height:15.75pt" o:ole="">
                  <v:imagedata r:id="rId9" o:title=""/>
                </v:shape>
                <w:control r:id="rId124" w:name="DefaultOcxName137" w:shapeid="_x0000_i139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B.</w:t>
            </w:r>
            <w:r w:rsidRPr="00174706">
              <w:rPr>
                <w:rFonts w:ascii="Segoe UI" w:eastAsia="宋体" w:hAnsi="Segoe UI" w:cs="Segoe UI"/>
                <w:color w:val="000000"/>
                <w:kern w:val="0"/>
                <w:sz w:val="18"/>
                <w:szCs w:val="18"/>
              </w:rPr>
              <w:t xml:space="preserve"> 8.37%.</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397" type="#_x0000_t75" style="width:20.25pt;height:15.75pt" o:ole="">
                  <v:imagedata r:id="rId9" o:title=""/>
                </v:shape>
                <w:control r:id="rId125" w:name="DefaultOcxName237" w:shapeid="_x0000_i139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C.</w:t>
            </w:r>
            <w:r w:rsidRPr="00174706">
              <w:rPr>
                <w:rFonts w:ascii="Segoe UI" w:eastAsia="宋体" w:hAnsi="Segoe UI" w:cs="Segoe UI"/>
                <w:color w:val="000000"/>
                <w:kern w:val="0"/>
                <w:sz w:val="18"/>
                <w:szCs w:val="18"/>
              </w:rPr>
              <w:t xml:space="preserve"> 8.93%.</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noWrap/>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0" w:type="auto"/>
            <w:gridSpan w:val="5"/>
            <w:shd w:val="clear" w:color="auto" w:fill="FF6347"/>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b/>
                <w:bCs/>
                <w:color w:val="000080"/>
                <w:kern w:val="0"/>
                <w:sz w:val="16"/>
                <w:szCs w:val="16"/>
              </w:rPr>
              <w:t>Feedback:</w:t>
            </w:r>
            <w:r w:rsidRPr="00174706">
              <w:rPr>
                <w:rFonts w:ascii="Segoe UI" w:eastAsia="宋体" w:hAnsi="Segoe UI" w:cs="Segoe UI"/>
                <w:color w:val="333333"/>
                <w:kern w:val="0"/>
                <w:sz w:val="18"/>
                <w:szCs w:val="18"/>
              </w:rPr>
              <w:t xml:space="preserve"> You have answered incorrectly.</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Correct answer: </w:t>
            </w:r>
            <w:r w:rsidRPr="00174706">
              <w:rPr>
                <w:rFonts w:ascii="Segoe UI" w:eastAsia="宋体" w:hAnsi="Segoe UI" w:cs="Segoe UI"/>
                <w:b/>
                <w:bCs/>
                <w:color w:val="333333"/>
                <w:kern w:val="0"/>
                <w:sz w:val="18"/>
                <w:szCs w:val="18"/>
              </w:rPr>
              <w:t>B</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"Yield Measures, Spot Rates, and Forward Rates," Frank J. </w:t>
            </w:r>
            <w:proofErr w:type="spellStart"/>
            <w:r w:rsidRPr="00174706">
              <w:rPr>
                <w:rFonts w:ascii="Segoe UI" w:eastAsia="宋体" w:hAnsi="Segoe UI" w:cs="Segoe UI"/>
                <w:color w:val="333333"/>
                <w:kern w:val="0"/>
                <w:sz w:val="18"/>
                <w:szCs w:val="18"/>
              </w:rPr>
              <w:t>Fabozzi</w:t>
            </w:r>
            <w:proofErr w:type="spellEnd"/>
            <w:r w:rsidRPr="00174706">
              <w:rPr>
                <w:rFonts w:ascii="Segoe UI" w:eastAsia="宋体" w:hAnsi="Segoe UI" w:cs="Segoe UI"/>
                <w:color w:val="333333"/>
                <w:kern w:val="0"/>
                <w:sz w:val="18"/>
                <w:szCs w:val="18"/>
              </w:rPr>
              <w:t>, CFA</w:t>
            </w:r>
            <w:r w:rsidRPr="00174706">
              <w:rPr>
                <w:rFonts w:ascii="Segoe UI" w:eastAsia="宋体" w:hAnsi="Segoe UI" w:cs="Segoe UI"/>
                <w:color w:val="333333"/>
                <w:kern w:val="0"/>
                <w:sz w:val="18"/>
                <w:szCs w:val="18"/>
              </w:rPr>
              <w:br/>
              <w:t>2011 Modular Level I, Vol. 5, pp. 538–539</w:t>
            </w:r>
            <w:r w:rsidRPr="00174706">
              <w:rPr>
                <w:rFonts w:ascii="Segoe UI" w:eastAsia="宋体" w:hAnsi="Segoe UI" w:cs="Segoe UI"/>
                <w:color w:val="333333"/>
                <w:kern w:val="0"/>
                <w:sz w:val="18"/>
                <w:szCs w:val="18"/>
              </w:rPr>
              <w:br/>
              <w:t>Study Session 16–66–b</w:t>
            </w:r>
            <w:r w:rsidRPr="00174706">
              <w:rPr>
                <w:rFonts w:ascii="Segoe UI" w:eastAsia="宋体" w:hAnsi="Segoe UI" w:cs="Segoe UI"/>
                <w:color w:val="333333"/>
                <w:kern w:val="0"/>
                <w:sz w:val="18"/>
                <w:szCs w:val="18"/>
              </w:rPr>
              <w:br/>
              <w:t>Calculate and interpret the traditional yield measures for fixed-rate bonds and explain their limitations and assumptions.</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A security with a present value of 96.47, 19 interest payments of 8, and a 20th payment of principal plus interest (108) has a yield to maturity of 8.37%. </w:t>
            </w:r>
          </w:p>
        </w:tc>
      </w:tr>
    </w:tbl>
    <w:p w:rsidR="008144A9" w:rsidRDefault="008144A9">
      <w:pPr>
        <w:rPr>
          <w:rFonts w:hint="eastAsia"/>
        </w:rPr>
      </w:pPr>
    </w:p>
    <w:tbl>
      <w:tblPr>
        <w:tblW w:w="5000" w:type="pct"/>
        <w:tblCellSpacing w:w="15" w:type="dxa"/>
        <w:tblCellMar>
          <w:top w:w="30" w:type="dxa"/>
          <w:left w:w="30" w:type="dxa"/>
          <w:bottom w:w="30" w:type="dxa"/>
          <w:right w:w="30" w:type="dxa"/>
        </w:tblCellMar>
        <w:tblLook w:val="04A0"/>
      </w:tblPr>
      <w:tblGrid>
        <w:gridCol w:w="420"/>
        <w:gridCol w:w="581"/>
        <w:gridCol w:w="7152"/>
        <w:gridCol w:w="96"/>
        <w:gridCol w:w="96"/>
        <w:gridCol w:w="111"/>
      </w:tblGrid>
      <w:tr w:rsidR="00174706" w:rsidRPr="00174706" w:rsidTr="0017470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74706" w:rsidRPr="00174706" w:rsidRDefault="00174706" w:rsidP="00174706">
            <w:pPr>
              <w:widowControl/>
              <w:jc w:val="left"/>
              <w:rPr>
                <w:rFonts w:ascii="Segoe UI" w:eastAsia="宋体" w:hAnsi="Segoe UI" w:cs="Segoe UI"/>
                <w:b/>
                <w:bCs/>
                <w:color w:val="000000"/>
                <w:kern w:val="0"/>
                <w:sz w:val="18"/>
                <w:szCs w:val="18"/>
              </w:rPr>
            </w:pPr>
            <w:r w:rsidRPr="00174706">
              <w:rPr>
                <w:rFonts w:ascii="Segoe UI" w:eastAsia="宋体" w:hAnsi="Segoe UI" w:cs="Segoe UI"/>
                <w:b/>
                <w:bCs/>
                <w:color w:val="000000"/>
                <w:kern w:val="0"/>
                <w:sz w:val="18"/>
                <w:szCs w:val="18"/>
              </w:rPr>
              <w:t>58</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xml:space="preserve">Which of the following types of institutions is </w:t>
            </w:r>
            <w:r w:rsidRPr="00174706">
              <w:rPr>
                <w:rFonts w:ascii="Segoe UI" w:eastAsia="宋体" w:hAnsi="Segoe UI" w:cs="Segoe UI"/>
                <w:i/>
                <w:iCs/>
                <w:color w:val="333333"/>
                <w:kern w:val="0"/>
                <w:sz w:val="18"/>
                <w:szCs w:val="18"/>
              </w:rPr>
              <w:t>most likely</w:t>
            </w:r>
            <w:r w:rsidRPr="00174706">
              <w:rPr>
                <w:rFonts w:ascii="Segoe UI" w:eastAsia="宋体" w:hAnsi="Segoe UI" w:cs="Segoe UI"/>
                <w:color w:val="333333"/>
                <w:kern w:val="0"/>
                <w:sz w:val="18"/>
                <w:szCs w:val="18"/>
              </w:rPr>
              <w:t xml:space="preserve"> to have a long investment time horizon and a high level of risk tolerance?</w:t>
            </w: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08" type="#_x0000_t75" style="width:20.25pt;height:15.75pt" o:ole="">
                  <v:imagedata r:id="rId7" o:title=""/>
                </v:shape>
                <w:control r:id="rId126" w:name="DefaultOcxName58" w:shapeid="_x0000_i140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A.</w:t>
            </w:r>
            <w:r w:rsidRPr="00174706">
              <w:rPr>
                <w:rFonts w:ascii="Segoe UI" w:eastAsia="宋体" w:hAnsi="Segoe UI" w:cs="Segoe UI"/>
                <w:color w:val="000000"/>
                <w:kern w:val="0"/>
                <w:sz w:val="18"/>
                <w:szCs w:val="18"/>
              </w:rPr>
              <w:t xml:space="preserve"> A bank</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07" type="#_x0000_t75" style="width:20.25pt;height:15.75pt" o:ole="">
                  <v:imagedata r:id="rId9" o:title=""/>
                </v:shape>
                <w:control r:id="rId127" w:name="DefaultOcxName138" w:shapeid="_x0000_i140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B.</w:t>
            </w:r>
            <w:r w:rsidRPr="00174706">
              <w:rPr>
                <w:rFonts w:ascii="Segoe UI" w:eastAsia="宋体" w:hAnsi="Segoe UI" w:cs="Segoe UI"/>
                <w:color w:val="000000"/>
                <w:kern w:val="0"/>
                <w:sz w:val="18"/>
                <w:szCs w:val="18"/>
              </w:rPr>
              <w:t xml:space="preserve"> An endowment</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06" type="#_x0000_t75" style="width:20.25pt;height:15.75pt" o:ole="">
                  <v:imagedata r:id="rId9" o:title=""/>
                </v:shape>
                <w:control r:id="rId128" w:name="DefaultOcxName238" w:shapeid="_x0000_i1406"/>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C.</w:t>
            </w:r>
            <w:r w:rsidRPr="00174706">
              <w:rPr>
                <w:rFonts w:ascii="Segoe UI" w:eastAsia="宋体" w:hAnsi="Segoe UI" w:cs="Segoe UI"/>
                <w:color w:val="000000"/>
                <w:kern w:val="0"/>
                <w:sz w:val="18"/>
                <w:szCs w:val="18"/>
              </w:rPr>
              <w:t xml:space="preserve"> An insurance company</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noWrap/>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0" w:type="auto"/>
            <w:gridSpan w:val="5"/>
            <w:shd w:val="clear" w:color="auto" w:fill="FF6347"/>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b/>
                <w:bCs/>
                <w:color w:val="000080"/>
                <w:kern w:val="0"/>
                <w:sz w:val="16"/>
                <w:szCs w:val="16"/>
              </w:rPr>
              <w:t>Feedback:</w:t>
            </w:r>
            <w:r w:rsidRPr="00174706">
              <w:rPr>
                <w:rFonts w:ascii="Segoe UI" w:eastAsia="宋体" w:hAnsi="Segoe UI" w:cs="Segoe UI"/>
                <w:color w:val="333333"/>
                <w:kern w:val="0"/>
                <w:sz w:val="18"/>
                <w:szCs w:val="18"/>
              </w:rPr>
              <w:t xml:space="preserve"> You have answered incorrectly.</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Correct answer: </w:t>
            </w:r>
            <w:r w:rsidRPr="00174706">
              <w:rPr>
                <w:rFonts w:ascii="Segoe UI" w:eastAsia="宋体" w:hAnsi="Segoe UI" w:cs="Segoe UI"/>
                <w:b/>
                <w:bCs/>
                <w:color w:val="333333"/>
                <w:kern w:val="0"/>
                <w:sz w:val="18"/>
                <w:szCs w:val="18"/>
              </w:rPr>
              <w:t>B</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"Portfolio Management: An Overview," Robert M. Conroy and Alistair Byrne</w:t>
            </w:r>
            <w:r w:rsidRPr="00174706">
              <w:rPr>
                <w:rFonts w:ascii="Segoe UI" w:eastAsia="宋体" w:hAnsi="Segoe UI" w:cs="Segoe UI"/>
                <w:color w:val="333333"/>
                <w:kern w:val="0"/>
                <w:sz w:val="18"/>
                <w:szCs w:val="18"/>
              </w:rPr>
              <w:br/>
              <w:t>2011 Modular Level I, Vol. 4, pp. 287–293</w:t>
            </w:r>
            <w:r w:rsidRPr="00174706">
              <w:rPr>
                <w:rFonts w:ascii="Segoe UI" w:eastAsia="宋体" w:hAnsi="Segoe UI" w:cs="Segoe UI"/>
                <w:color w:val="333333"/>
                <w:kern w:val="0"/>
                <w:sz w:val="18"/>
                <w:szCs w:val="18"/>
              </w:rPr>
              <w:br/>
              <w:t>Study Session 12–51–b</w:t>
            </w:r>
            <w:r w:rsidRPr="00174706">
              <w:rPr>
                <w:rFonts w:ascii="Segoe UI" w:eastAsia="宋体" w:hAnsi="Segoe UI" w:cs="Segoe UI"/>
                <w:color w:val="333333"/>
                <w:kern w:val="0"/>
                <w:sz w:val="18"/>
                <w:szCs w:val="18"/>
              </w:rPr>
              <w:br/>
              <w:t>Discuss the types of investment management clients and the distinctive characteristics and needs of each.</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Endowments have a long investment time horizon and a high level of risk tolerance (Exhibit 14). </w:t>
            </w:r>
          </w:p>
        </w:tc>
      </w:tr>
    </w:tbl>
    <w:p w:rsidR="00174706" w:rsidRDefault="00174706">
      <w:pPr>
        <w:rPr>
          <w:rFonts w:hint="eastAsia"/>
        </w:rPr>
      </w:pPr>
    </w:p>
    <w:tbl>
      <w:tblPr>
        <w:tblW w:w="5000" w:type="pct"/>
        <w:tblCellSpacing w:w="15" w:type="dxa"/>
        <w:tblCellMar>
          <w:top w:w="30" w:type="dxa"/>
          <w:left w:w="30" w:type="dxa"/>
          <w:bottom w:w="30" w:type="dxa"/>
          <w:right w:w="30" w:type="dxa"/>
        </w:tblCellMar>
        <w:tblLook w:val="04A0"/>
      </w:tblPr>
      <w:tblGrid>
        <w:gridCol w:w="420"/>
        <w:gridCol w:w="510"/>
        <w:gridCol w:w="7223"/>
        <w:gridCol w:w="96"/>
        <w:gridCol w:w="96"/>
        <w:gridCol w:w="111"/>
      </w:tblGrid>
      <w:tr w:rsidR="00174706" w:rsidRPr="00174706" w:rsidTr="0017470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74706" w:rsidRPr="00174706" w:rsidRDefault="00174706" w:rsidP="00174706">
            <w:pPr>
              <w:widowControl/>
              <w:jc w:val="left"/>
              <w:rPr>
                <w:rFonts w:ascii="Segoe UI" w:eastAsia="宋体" w:hAnsi="Segoe UI" w:cs="Segoe UI"/>
                <w:b/>
                <w:bCs/>
                <w:color w:val="000000"/>
                <w:kern w:val="0"/>
                <w:sz w:val="18"/>
                <w:szCs w:val="18"/>
              </w:rPr>
            </w:pPr>
            <w:r w:rsidRPr="00174706">
              <w:rPr>
                <w:rFonts w:ascii="Segoe UI" w:eastAsia="宋体" w:hAnsi="Segoe UI" w:cs="Segoe UI"/>
                <w:b/>
                <w:bCs/>
                <w:color w:val="000000"/>
                <w:kern w:val="0"/>
                <w:sz w:val="18"/>
                <w:szCs w:val="18"/>
              </w:rPr>
              <w:t>59</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Selected information about shares of two companies is provided below:</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r>
          </w:p>
          <w:tbl>
            <w:tblPr>
              <w:tblpPr w:leftFromText="45" w:rightFromText="45" w:vertAnchor="text"/>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48"/>
              <w:gridCol w:w="1795"/>
              <w:gridCol w:w="1743"/>
              <w:gridCol w:w="1499"/>
            </w:tblGrid>
            <w:tr w:rsidR="00174706" w:rsidRPr="00174706">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b/>
                      <w:bCs/>
                      <w:color w:val="333333"/>
                      <w:kern w:val="0"/>
                      <w:sz w:val="18"/>
                      <w:szCs w:val="18"/>
                    </w:rPr>
                    <w:t>Stock</w:t>
                  </w:r>
                </w:p>
              </w:tc>
              <w:tc>
                <w:tcPr>
                  <w:tcW w:w="15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b/>
                      <w:bCs/>
                      <w:color w:val="333333"/>
                      <w:kern w:val="0"/>
                      <w:sz w:val="18"/>
                      <w:szCs w:val="18"/>
                    </w:rPr>
                    <w:t>Standard</w:t>
                  </w:r>
                  <w:r w:rsidRPr="00174706">
                    <w:rPr>
                      <w:rFonts w:ascii="Segoe UI" w:eastAsia="宋体" w:hAnsi="Segoe UI" w:cs="Segoe UI"/>
                      <w:b/>
                      <w:bCs/>
                      <w:color w:val="333333"/>
                      <w:kern w:val="0"/>
                      <w:sz w:val="18"/>
                      <w:szCs w:val="18"/>
                    </w:rPr>
                    <w:br/>
                    <w:t>Deviation</w:t>
                  </w:r>
                </w:p>
              </w:tc>
              <w:tc>
                <w:tcPr>
                  <w:tcW w:w="1485"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b/>
                      <w:bCs/>
                      <w:color w:val="333333"/>
                      <w:kern w:val="0"/>
                      <w:sz w:val="18"/>
                      <w:szCs w:val="18"/>
                    </w:rPr>
                    <w:t>Correlation</w:t>
                  </w:r>
                  <w:r w:rsidRPr="00174706">
                    <w:rPr>
                      <w:rFonts w:ascii="Segoe UI" w:eastAsia="宋体" w:hAnsi="Segoe UI" w:cs="Segoe UI"/>
                      <w:b/>
                      <w:bCs/>
                      <w:color w:val="333333"/>
                      <w:kern w:val="0"/>
                      <w:sz w:val="18"/>
                      <w:szCs w:val="18"/>
                    </w:rPr>
                    <w:br/>
                    <w:t>of Returns</w:t>
                  </w:r>
                  <w:r w:rsidRPr="00174706">
                    <w:rPr>
                      <w:rFonts w:ascii="Segoe UI" w:eastAsia="宋体" w:hAnsi="Segoe UI" w:cs="Segoe UI"/>
                      <w:b/>
                      <w:bCs/>
                      <w:color w:val="333333"/>
                      <w:kern w:val="0"/>
                      <w:sz w:val="18"/>
                      <w:szCs w:val="18"/>
                      <w:vertAlign w:val="superscript"/>
                    </w:rPr>
                    <w:t>1</w:t>
                  </w:r>
                </w:p>
              </w:tc>
              <w:tc>
                <w:tcPr>
                  <w:tcW w:w="126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b/>
                      <w:bCs/>
                      <w:color w:val="333333"/>
                      <w:kern w:val="0"/>
                      <w:sz w:val="18"/>
                      <w:szCs w:val="18"/>
                    </w:rPr>
                    <w:t>Portfolio</w:t>
                  </w:r>
                  <w:r w:rsidRPr="00174706">
                    <w:rPr>
                      <w:rFonts w:ascii="Segoe UI" w:eastAsia="宋体" w:hAnsi="Segoe UI" w:cs="Segoe UI"/>
                      <w:b/>
                      <w:bCs/>
                      <w:color w:val="333333"/>
                      <w:kern w:val="0"/>
                      <w:sz w:val="18"/>
                      <w:szCs w:val="18"/>
                    </w:rPr>
                    <w:br/>
                    <w:t>Weights</w:t>
                  </w:r>
                </w:p>
              </w:tc>
            </w:tr>
            <w:tr w:rsidR="00174706" w:rsidRPr="00174706">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Cable Incorporated</w:t>
                  </w:r>
                </w:p>
              </w:tc>
              <w:tc>
                <w:tcPr>
                  <w:tcW w:w="15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30%</w:t>
                  </w:r>
                </w:p>
              </w:tc>
              <w:tc>
                <w:tcPr>
                  <w:tcW w:w="1485"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0.65</w:t>
                  </w:r>
                </w:p>
              </w:tc>
              <w:tc>
                <w:tcPr>
                  <w:tcW w:w="126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68%</w:t>
                  </w:r>
                </w:p>
              </w:tc>
            </w:tr>
            <w:tr w:rsidR="00174706" w:rsidRPr="00174706">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GPT Company</w:t>
                  </w:r>
                </w:p>
              </w:tc>
              <w:tc>
                <w:tcPr>
                  <w:tcW w:w="153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20%</w:t>
                  </w:r>
                </w:p>
              </w:tc>
              <w:tc>
                <w:tcPr>
                  <w:tcW w:w="1485"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1260" w:type="dxa"/>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32%</w:t>
                  </w:r>
                </w:p>
              </w:tc>
            </w:tr>
            <w:tr w:rsidR="00174706" w:rsidRPr="00174706">
              <w:trPr>
                <w:tblCellSpacing w:w="15" w:type="dxa"/>
              </w:trPr>
              <w:tc>
                <w:tcPr>
                  <w:tcW w:w="6705" w:type="dxa"/>
                  <w:gridSpan w:val="4"/>
                  <w:tcBorders>
                    <w:top w:val="outset" w:sz="6" w:space="0" w:color="auto"/>
                    <w:left w:val="outset" w:sz="6" w:space="0" w:color="auto"/>
                    <w:bottom w:val="outset" w:sz="6" w:space="0" w:color="auto"/>
                    <w:right w:val="outset" w:sz="6" w:space="0" w:color="auto"/>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5"/>
                      <w:szCs w:val="15"/>
                      <w:vertAlign w:val="superscript"/>
                    </w:rPr>
                    <w:t>1</w:t>
                  </w:r>
                  <w:r w:rsidRPr="00174706">
                    <w:rPr>
                      <w:rFonts w:ascii="Segoe UI" w:eastAsia="宋体" w:hAnsi="Segoe UI" w:cs="Segoe UI"/>
                      <w:color w:val="333333"/>
                      <w:kern w:val="0"/>
                      <w:sz w:val="15"/>
                      <w:szCs w:val="15"/>
                    </w:rPr>
                    <w:t>Correlation of returns between Cable Incorporated and GPT Company</w:t>
                  </w:r>
                </w:p>
              </w:tc>
            </w:tr>
          </w:tbl>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br/>
              <w:t xml:space="preserve">The standard deviation of returns of a portfolio formed with these two stocks is </w:t>
            </w:r>
            <w:r w:rsidRPr="00174706">
              <w:rPr>
                <w:rFonts w:ascii="Segoe UI" w:eastAsia="宋体" w:hAnsi="Segoe UI" w:cs="Segoe UI"/>
                <w:i/>
                <w:iCs/>
                <w:color w:val="333333"/>
                <w:kern w:val="0"/>
                <w:sz w:val="18"/>
                <w:szCs w:val="18"/>
              </w:rPr>
              <w:t>closest</w:t>
            </w:r>
            <w:r w:rsidRPr="00174706">
              <w:rPr>
                <w:rFonts w:ascii="Segoe UI" w:eastAsia="宋体" w:hAnsi="Segoe UI" w:cs="Segoe UI"/>
                <w:color w:val="333333"/>
                <w:kern w:val="0"/>
                <w:sz w:val="18"/>
                <w:szCs w:val="18"/>
              </w:rPr>
              <w:t xml:space="preserve"> to:</w:t>
            </w: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lastRenderedPageBreak/>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19" type="#_x0000_t75" style="width:20.25pt;height:15.75pt" o:ole="">
                  <v:imagedata r:id="rId7" o:title=""/>
                </v:shape>
                <w:control r:id="rId129" w:name="DefaultOcxName59" w:shapeid="_x0000_i141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A.</w:t>
            </w:r>
            <w:r w:rsidRPr="00174706">
              <w:rPr>
                <w:rFonts w:ascii="Segoe UI" w:eastAsia="宋体" w:hAnsi="Segoe UI" w:cs="Segoe UI"/>
                <w:color w:val="000000"/>
                <w:kern w:val="0"/>
                <w:sz w:val="18"/>
                <w:szCs w:val="18"/>
              </w:rPr>
              <w:t xml:space="preserve"> 25.04%.</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18" type="#_x0000_t75" style="width:20.25pt;height:15.75pt" o:ole="">
                  <v:imagedata r:id="rId9" o:title=""/>
                </v:shape>
                <w:control r:id="rId130" w:name="DefaultOcxName139" w:shapeid="_x0000_i141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B.</w:t>
            </w:r>
            <w:r w:rsidRPr="00174706">
              <w:rPr>
                <w:rFonts w:ascii="Segoe UI" w:eastAsia="宋体" w:hAnsi="Segoe UI" w:cs="Segoe UI"/>
                <w:color w:val="000000"/>
                <w:kern w:val="0"/>
                <w:sz w:val="18"/>
                <w:szCs w:val="18"/>
              </w:rPr>
              <w:t xml:space="preserve"> 26.80%.</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17" type="#_x0000_t75" style="width:20.25pt;height:15.75pt" o:ole="">
                  <v:imagedata r:id="rId9" o:title=""/>
                </v:shape>
                <w:control r:id="rId131" w:name="DefaultOcxName239" w:shapeid="_x0000_i1417"/>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C.</w:t>
            </w:r>
            <w:r w:rsidRPr="00174706">
              <w:rPr>
                <w:rFonts w:ascii="Segoe UI" w:eastAsia="宋体" w:hAnsi="Segoe UI" w:cs="Segoe UI"/>
                <w:color w:val="000000"/>
                <w:kern w:val="0"/>
                <w:sz w:val="18"/>
                <w:szCs w:val="18"/>
              </w:rPr>
              <w:t xml:space="preserve"> 32.85%.</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noWrap/>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0" w:type="auto"/>
            <w:gridSpan w:val="5"/>
            <w:shd w:val="clear" w:color="auto" w:fill="9ACD32"/>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b/>
                <w:bCs/>
                <w:color w:val="000080"/>
                <w:kern w:val="0"/>
                <w:sz w:val="16"/>
                <w:szCs w:val="16"/>
              </w:rPr>
              <w:t>Feedback:</w:t>
            </w:r>
            <w:r w:rsidRPr="00174706">
              <w:rPr>
                <w:rFonts w:ascii="Segoe UI" w:eastAsia="宋体" w:hAnsi="Segoe UI" w:cs="Segoe UI"/>
                <w:color w:val="333333"/>
                <w:kern w:val="0"/>
                <w:sz w:val="18"/>
                <w:szCs w:val="18"/>
              </w:rPr>
              <w:t xml:space="preserve"> You have answered correctly.</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Correct answer: </w:t>
            </w:r>
            <w:r w:rsidRPr="00174706">
              <w:rPr>
                <w:rFonts w:ascii="Segoe UI" w:eastAsia="宋体" w:hAnsi="Segoe UI" w:cs="Segoe UI"/>
                <w:b/>
                <w:bCs/>
                <w:color w:val="333333"/>
                <w:kern w:val="0"/>
                <w:sz w:val="18"/>
                <w:szCs w:val="18"/>
              </w:rPr>
              <w:t>A</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"Portfolio Risk and Return – Part I," Vijay </w:t>
            </w:r>
            <w:proofErr w:type="spellStart"/>
            <w:r w:rsidRPr="00174706">
              <w:rPr>
                <w:rFonts w:ascii="Segoe UI" w:eastAsia="宋体" w:hAnsi="Segoe UI" w:cs="Segoe UI"/>
                <w:color w:val="333333"/>
                <w:kern w:val="0"/>
                <w:sz w:val="18"/>
                <w:szCs w:val="18"/>
              </w:rPr>
              <w:t>Singal</w:t>
            </w:r>
            <w:proofErr w:type="spellEnd"/>
            <w:r w:rsidRPr="00174706">
              <w:rPr>
                <w:rFonts w:ascii="Segoe UI" w:eastAsia="宋体" w:hAnsi="Segoe UI" w:cs="Segoe UI"/>
                <w:color w:val="333333"/>
                <w:kern w:val="0"/>
                <w:sz w:val="18"/>
                <w:szCs w:val="18"/>
              </w:rPr>
              <w:br/>
              <w:t>2011 Modular Level I, Vol. 4, pp. 330–332</w:t>
            </w:r>
            <w:r w:rsidRPr="00174706">
              <w:rPr>
                <w:rFonts w:ascii="Segoe UI" w:eastAsia="宋体" w:hAnsi="Segoe UI" w:cs="Segoe UI"/>
                <w:color w:val="333333"/>
                <w:kern w:val="0"/>
                <w:sz w:val="18"/>
                <w:szCs w:val="18"/>
              </w:rPr>
              <w:br/>
              <w:t>Study Session 12–52–e</w:t>
            </w:r>
            <w:r w:rsidRPr="00174706">
              <w:rPr>
                <w:rFonts w:ascii="Segoe UI" w:eastAsia="宋体" w:hAnsi="Segoe UI" w:cs="Segoe UI"/>
                <w:color w:val="333333"/>
                <w:kern w:val="0"/>
                <w:sz w:val="18"/>
                <w:szCs w:val="18"/>
              </w:rPr>
              <w:br/>
              <w:t>Calculate and interpret portfolio standard deviation.</w:t>
            </w:r>
            <w:r w:rsidRPr="00174706">
              <w:rPr>
                <w:rFonts w:ascii="Segoe UI" w:eastAsia="宋体" w:hAnsi="Segoe UI" w:cs="Segoe UI"/>
                <w:color w:val="333333"/>
                <w:kern w:val="0"/>
                <w:sz w:val="18"/>
                <w:szCs w:val="18"/>
              </w:rPr>
              <w:br/>
              <w:t xml:space="preserve">Portfolio standard deviation </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3600450" cy="371475"/>
                  <wp:effectExtent l="19050" t="0" r="0" b="0"/>
                  <wp:docPr id="385" name="图片 385" descr="https://nlb4.testrac.com/cfa/graphics/PML1V120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nlb4.testrac.com/cfa/graphics/PML1V1201102.jpg"/>
                          <pic:cNvPicPr>
                            <a:picLocks noChangeAspect="1" noChangeArrowheads="1"/>
                          </pic:cNvPicPr>
                        </pic:nvPicPr>
                        <pic:blipFill>
                          <a:blip r:embed="rId132"/>
                          <a:srcRect/>
                          <a:stretch>
                            <a:fillRect/>
                          </a:stretch>
                        </pic:blipFill>
                        <pic:spPr bwMode="auto">
                          <a:xfrm>
                            <a:off x="0" y="0"/>
                            <a:ext cx="3600450" cy="371475"/>
                          </a:xfrm>
                          <a:prstGeom prst="rect">
                            <a:avLst/>
                          </a:prstGeom>
                          <a:noFill/>
                          <a:ln w="9525">
                            <a:noFill/>
                            <a:miter lim="800000"/>
                            <a:headEnd/>
                            <a:tailEnd/>
                          </a:ln>
                        </pic:spPr>
                      </pic:pic>
                    </a:graphicData>
                  </a:graphic>
                </wp:inline>
              </w:drawing>
            </w:r>
            <w:r w:rsidRPr="00174706">
              <w:rPr>
                <w:rFonts w:ascii="Segoe UI" w:eastAsia="宋体" w:hAnsi="Segoe UI" w:cs="Segoe UI"/>
                <w:color w:val="333333"/>
                <w:kern w:val="0"/>
                <w:sz w:val="18"/>
                <w:szCs w:val="18"/>
              </w:rPr>
              <w:t> </w:t>
            </w:r>
          </w:p>
        </w:tc>
      </w:tr>
    </w:tbl>
    <w:p w:rsidR="00174706" w:rsidRDefault="00174706">
      <w:pPr>
        <w:rPr>
          <w:rFonts w:hint="eastAsia"/>
        </w:rPr>
      </w:pPr>
    </w:p>
    <w:tbl>
      <w:tblPr>
        <w:tblW w:w="5000" w:type="pct"/>
        <w:tblCellSpacing w:w="15" w:type="dxa"/>
        <w:tblCellMar>
          <w:top w:w="30" w:type="dxa"/>
          <w:left w:w="30" w:type="dxa"/>
          <w:bottom w:w="30" w:type="dxa"/>
          <w:right w:w="30" w:type="dxa"/>
        </w:tblCellMar>
        <w:tblLook w:val="04A0"/>
      </w:tblPr>
      <w:tblGrid>
        <w:gridCol w:w="420"/>
        <w:gridCol w:w="816"/>
        <w:gridCol w:w="6764"/>
        <w:gridCol w:w="147"/>
        <w:gridCol w:w="147"/>
        <w:gridCol w:w="162"/>
      </w:tblGrid>
      <w:tr w:rsidR="00174706" w:rsidRPr="00174706" w:rsidTr="00174706">
        <w:trPr>
          <w:tblCellSpacing w:w="15" w:type="dxa"/>
        </w:trPr>
        <w:tc>
          <w:tcPr>
            <w:tcW w:w="375" w:type="dxa"/>
            <w:tcBorders>
              <w:top w:val="single" w:sz="6" w:space="0" w:color="FFCC99"/>
              <w:left w:val="single" w:sz="6" w:space="0" w:color="FFCC99"/>
              <w:bottom w:val="single" w:sz="6" w:space="0" w:color="FFCC99"/>
              <w:right w:val="single" w:sz="6" w:space="0" w:color="FFCC99"/>
            </w:tcBorders>
            <w:shd w:val="clear" w:color="auto" w:fill="FFFFCC"/>
            <w:hideMark/>
          </w:tcPr>
          <w:p w:rsidR="00174706" w:rsidRPr="00174706" w:rsidRDefault="00174706" w:rsidP="00174706">
            <w:pPr>
              <w:widowControl/>
              <w:jc w:val="left"/>
              <w:rPr>
                <w:rFonts w:ascii="Segoe UI" w:eastAsia="宋体" w:hAnsi="Segoe UI" w:cs="Segoe UI"/>
                <w:b/>
                <w:bCs/>
                <w:color w:val="000000"/>
                <w:kern w:val="0"/>
                <w:sz w:val="18"/>
                <w:szCs w:val="18"/>
              </w:rPr>
            </w:pPr>
            <w:r w:rsidRPr="00174706">
              <w:rPr>
                <w:rFonts w:ascii="Segoe UI" w:eastAsia="宋体" w:hAnsi="Segoe UI" w:cs="Segoe UI"/>
                <w:b/>
                <w:bCs/>
                <w:color w:val="000000"/>
                <w:kern w:val="0"/>
                <w:sz w:val="18"/>
                <w:szCs w:val="18"/>
              </w:rPr>
              <w:t>60</w:t>
            </w:r>
          </w:p>
        </w:tc>
        <w:tc>
          <w:tcPr>
            <w:tcW w:w="0" w:type="auto"/>
            <w:gridSpan w:val="5"/>
            <w:tcBorders>
              <w:top w:val="single" w:sz="6" w:space="0" w:color="AAAAAA"/>
              <w:left w:val="single" w:sz="6" w:space="0" w:color="AAAAAA"/>
              <w:bottom w:val="single" w:sz="6" w:space="0" w:color="AAAAAA"/>
              <w:right w:val="single" w:sz="6" w:space="0" w:color="AAAAAA"/>
            </w:tcBorders>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xml:space="preserve">A stock has a correlation of 0.45 with the market and a standard deviation of returns of 12.35 percent. If the market has a standard deviation of returns of 8.25 percent, then the beta of the stock is </w:t>
            </w:r>
            <w:r w:rsidRPr="00174706">
              <w:rPr>
                <w:rFonts w:ascii="Segoe UI" w:eastAsia="宋体" w:hAnsi="Segoe UI" w:cs="Segoe UI"/>
                <w:i/>
                <w:iCs/>
                <w:color w:val="333333"/>
                <w:kern w:val="0"/>
                <w:sz w:val="18"/>
                <w:szCs w:val="18"/>
              </w:rPr>
              <w:t>closest</w:t>
            </w:r>
            <w:r w:rsidRPr="00174706">
              <w:rPr>
                <w:rFonts w:ascii="Segoe UI" w:eastAsia="宋体" w:hAnsi="Segoe UI" w:cs="Segoe UI"/>
                <w:color w:val="333333"/>
                <w:kern w:val="0"/>
                <w:sz w:val="18"/>
                <w:szCs w:val="18"/>
              </w:rPr>
              <w:t xml:space="preserve"> to:</w:t>
            </w: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30" type="#_x0000_t75" style="width:20.25pt;height:15.75pt" o:ole="">
                  <v:imagedata r:id="rId7" o:title=""/>
                </v:shape>
                <w:control r:id="rId133" w:name="DefaultOcxName60" w:shapeid="_x0000_i1430"/>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A.</w:t>
            </w:r>
            <w:r w:rsidRPr="00174706">
              <w:rPr>
                <w:rFonts w:ascii="Segoe UI" w:eastAsia="宋体" w:hAnsi="Segoe UI" w:cs="Segoe UI"/>
                <w:color w:val="000000"/>
                <w:kern w:val="0"/>
                <w:sz w:val="18"/>
                <w:szCs w:val="18"/>
              </w:rPr>
              <w:t xml:space="preserve"> 0.30.</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29" type="#_x0000_t75" style="width:20.25pt;height:15.75pt" o:ole="">
                  <v:imagedata r:id="rId9" o:title=""/>
                </v:shape>
                <w:control r:id="rId134" w:name="DefaultOcxName140" w:shapeid="_x0000_i1429"/>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B.</w:t>
            </w:r>
            <w:r w:rsidRPr="00174706">
              <w:rPr>
                <w:rFonts w:ascii="Segoe UI" w:eastAsia="宋体" w:hAnsi="Segoe UI" w:cs="Segoe UI"/>
                <w:color w:val="000000"/>
                <w:kern w:val="0"/>
                <w:sz w:val="18"/>
                <w:szCs w:val="18"/>
              </w:rPr>
              <w:t xml:space="preserve"> 0.67.</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450" w:type="dxa"/>
            <w:tcBorders>
              <w:top w:val="single" w:sz="6" w:space="0" w:color="FFCC99"/>
              <w:left w:val="single" w:sz="6" w:space="0" w:color="FFCC99"/>
              <w:bottom w:val="single" w:sz="6" w:space="0" w:color="FFCC99"/>
              <w:right w:val="single" w:sz="6" w:space="0" w:color="FFCC99"/>
            </w:tcBorders>
            <w:shd w:val="clear" w:color="auto" w:fill="FFFFCC"/>
            <w:noWrap/>
            <w:tcMar>
              <w:top w:w="0" w:type="dxa"/>
              <w:left w:w="0" w:type="dxa"/>
              <w:bottom w:w="0" w:type="dxa"/>
              <w:right w:w="0" w:type="dxa"/>
            </w:tcMar>
            <w:vAlign w:val="center"/>
            <w:hideMark/>
          </w:tcPr>
          <w:p w:rsidR="00174706" w:rsidRPr="00174706" w:rsidRDefault="00174706" w:rsidP="00174706">
            <w:pPr>
              <w:widowControl/>
              <w:jc w:val="center"/>
              <w:rPr>
                <w:rFonts w:ascii="Segoe UI" w:eastAsia="宋体" w:hAnsi="Segoe UI" w:cs="Segoe UI"/>
                <w:color w:val="000000"/>
                <w:kern w:val="0"/>
                <w:sz w:val="18"/>
                <w:szCs w:val="18"/>
              </w:rPr>
            </w:pPr>
            <w:r w:rsidRPr="00174706">
              <w:rPr>
                <w:rFonts w:ascii="Segoe UI" w:eastAsia="宋体" w:hAnsi="Segoe UI" w:cs="Segoe UI"/>
                <w:color w:val="000000"/>
                <w:kern w:val="0"/>
                <w:sz w:val="18"/>
                <w:szCs w:val="18"/>
              </w:rPr>
              <w:object w:dxaOrig="1440" w:dyaOrig="1440">
                <v:shape id="_x0000_i1428" type="#_x0000_t75" style="width:20.25pt;height:15.75pt" o:ole="">
                  <v:imagedata r:id="rId9" o:title=""/>
                </v:shape>
                <w:control r:id="rId135" w:name="DefaultOcxName240" w:shapeid="_x0000_i1428"/>
              </w:object>
            </w:r>
          </w:p>
        </w:tc>
        <w:tc>
          <w:tcPr>
            <w:tcW w:w="7875" w:type="dxa"/>
            <w:tcBorders>
              <w:top w:val="single" w:sz="6" w:space="0" w:color="FFCC99"/>
              <w:left w:val="single" w:sz="6" w:space="0" w:color="FFCC99"/>
              <w:bottom w:val="single" w:sz="6" w:space="0" w:color="FFCC99"/>
              <w:right w:val="single" w:sz="6" w:space="0" w:color="FFCC99"/>
            </w:tcBorders>
            <w:shd w:val="clear" w:color="auto" w:fill="FFFFCC"/>
            <w:vAlign w:val="center"/>
            <w:hideMark/>
          </w:tcPr>
          <w:p w:rsidR="00174706" w:rsidRPr="00174706" w:rsidRDefault="00174706" w:rsidP="00174706">
            <w:pPr>
              <w:widowControl/>
              <w:jc w:val="left"/>
              <w:rPr>
                <w:rFonts w:ascii="Segoe UI" w:eastAsia="宋体" w:hAnsi="Segoe UI" w:cs="Segoe UI"/>
                <w:color w:val="000000"/>
                <w:kern w:val="0"/>
                <w:sz w:val="18"/>
                <w:szCs w:val="18"/>
              </w:rPr>
            </w:pPr>
            <w:r w:rsidRPr="00174706">
              <w:rPr>
                <w:rFonts w:ascii="Segoe UI" w:eastAsia="宋体" w:hAnsi="Segoe UI" w:cs="Segoe UI"/>
                <w:b/>
                <w:bCs/>
                <w:color w:val="000000"/>
                <w:kern w:val="0"/>
                <w:sz w:val="18"/>
                <w:szCs w:val="18"/>
              </w:rPr>
              <w:t>C.</w:t>
            </w:r>
            <w:r w:rsidRPr="00174706">
              <w:rPr>
                <w:rFonts w:ascii="Segoe UI" w:eastAsia="宋体" w:hAnsi="Segoe UI" w:cs="Segoe UI"/>
                <w:color w:val="000000"/>
                <w:kern w:val="0"/>
                <w:sz w:val="18"/>
                <w:szCs w:val="18"/>
              </w:rPr>
              <w:t xml:space="preserve"> 1.50.</w:t>
            </w: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c>
          <w:tcPr>
            <w:tcW w:w="0" w:type="auto"/>
            <w:vAlign w:val="center"/>
            <w:hideMark/>
          </w:tcPr>
          <w:p w:rsidR="00174706" w:rsidRPr="00174706" w:rsidRDefault="00174706" w:rsidP="00174706">
            <w:pPr>
              <w:widowControl/>
              <w:jc w:val="left"/>
              <w:rPr>
                <w:rFonts w:ascii="Times New Roman" w:eastAsia="Times New Roman" w:hAnsi="Times New Roman" w:cs="Times New Roman"/>
                <w:kern w:val="0"/>
                <w:sz w:val="20"/>
                <w:szCs w:val="20"/>
              </w:rPr>
            </w:pPr>
          </w:p>
        </w:tc>
      </w:tr>
      <w:tr w:rsidR="00174706" w:rsidRPr="00174706" w:rsidTr="00174706">
        <w:trPr>
          <w:trHeight w:val="525"/>
          <w:tblCellSpacing w:w="15" w:type="dxa"/>
        </w:trPr>
        <w:tc>
          <w:tcPr>
            <w:tcW w:w="375" w:type="dxa"/>
            <w:noWrap/>
            <w:vAlign w:val="center"/>
            <w:hideMark/>
          </w:tcPr>
          <w:p w:rsidR="00174706" w:rsidRPr="00174706" w:rsidRDefault="00174706" w:rsidP="00174706">
            <w:pPr>
              <w:widowControl/>
              <w:jc w:val="center"/>
              <w:rPr>
                <w:rFonts w:ascii="Segoe UI" w:eastAsia="宋体" w:hAnsi="Segoe UI" w:cs="Segoe UI"/>
                <w:color w:val="333333"/>
                <w:kern w:val="0"/>
                <w:sz w:val="18"/>
                <w:szCs w:val="18"/>
              </w:rPr>
            </w:pPr>
            <w:r w:rsidRPr="00174706">
              <w:rPr>
                <w:rFonts w:ascii="Segoe UI" w:eastAsia="宋体" w:hAnsi="Segoe UI" w:cs="Segoe UI"/>
                <w:color w:val="333333"/>
                <w:kern w:val="0"/>
                <w:sz w:val="18"/>
                <w:szCs w:val="18"/>
              </w:rPr>
              <w:t> </w:t>
            </w:r>
          </w:p>
        </w:tc>
        <w:tc>
          <w:tcPr>
            <w:tcW w:w="0" w:type="auto"/>
            <w:gridSpan w:val="5"/>
            <w:shd w:val="clear" w:color="auto" w:fill="FF6347"/>
            <w:vAlign w:val="center"/>
            <w:hideMark/>
          </w:tcPr>
          <w:p w:rsidR="00174706" w:rsidRPr="00174706" w:rsidRDefault="00174706" w:rsidP="00174706">
            <w:pPr>
              <w:widowControl/>
              <w:jc w:val="left"/>
              <w:rPr>
                <w:rFonts w:ascii="Segoe UI" w:eastAsia="宋体" w:hAnsi="Segoe UI" w:cs="Segoe UI"/>
                <w:color w:val="333333"/>
                <w:kern w:val="0"/>
                <w:sz w:val="18"/>
                <w:szCs w:val="18"/>
              </w:rPr>
            </w:pPr>
            <w:r w:rsidRPr="00174706">
              <w:rPr>
                <w:rFonts w:ascii="Segoe UI" w:eastAsia="宋体" w:hAnsi="Segoe UI" w:cs="Segoe UI"/>
                <w:b/>
                <w:bCs/>
                <w:color w:val="000080"/>
                <w:kern w:val="0"/>
                <w:sz w:val="16"/>
                <w:szCs w:val="16"/>
              </w:rPr>
              <w:t>Feedback:</w:t>
            </w:r>
            <w:r w:rsidRPr="00174706">
              <w:rPr>
                <w:rFonts w:ascii="Segoe UI" w:eastAsia="宋体" w:hAnsi="Segoe UI" w:cs="Segoe UI"/>
                <w:color w:val="333333"/>
                <w:kern w:val="0"/>
                <w:sz w:val="18"/>
                <w:szCs w:val="18"/>
              </w:rPr>
              <w:t xml:space="preserve"> You have answered incorrectly.</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lastRenderedPageBreak/>
              <w:t xml:space="preserve">Correct answer: </w:t>
            </w:r>
            <w:r w:rsidRPr="00174706">
              <w:rPr>
                <w:rFonts w:ascii="Segoe UI" w:eastAsia="宋体" w:hAnsi="Segoe UI" w:cs="Segoe UI"/>
                <w:b/>
                <w:bCs/>
                <w:color w:val="333333"/>
                <w:kern w:val="0"/>
                <w:sz w:val="18"/>
                <w:szCs w:val="18"/>
              </w:rPr>
              <w:t>B</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t xml:space="preserve">"Portfolio Risk and Return – Part II," Vijay </w:t>
            </w:r>
            <w:proofErr w:type="spellStart"/>
            <w:r w:rsidRPr="00174706">
              <w:rPr>
                <w:rFonts w:ascii="Segoe UI" w:eastAsia="宋体" w:hAnsi="Segoe UI" w:cs="Segoe UI"/>
                <w:color w:val="333333"/>
                <w:kern w:val="0"/>
                <w:sz w:val="18"/>
                <w:szCs w:val="18"/>
              </w:rPr>
              <w:t>Singal</w:t>
            </w:r>
            <w:proofErr w:type="spellEnd"/>
            <w:r w:rsidRPr="00174706">
              <w:rPr>
                <w:rFonts w:ascii="Segoe UI" w:eastAsia="宋体" w:hAnsi="Segoe UI" w:cs="Segoe UI"/>
                <w:color w:val="333333"/>
                <w:kern w:val="0"/>
                <w:sz w:val="18"/>
                <w:szCs w:val="18"/>
              </w:rPr>
              <w:br/>
              <w:t>2011 Modular Level I, Vol. 4, pp. 410–413</w:t>
            </w:r>
            <w:r w:rsidRPr="00174706">
              <w:rPr>
                <w:rFonts w:ascii="Segoe UI" w:eastAsia="宋体" w:hAnsi="Segoe UI" w:cs="Segoe UI"/>
                <w:color w:val="333333"/>
                <w:kern w:val="0"/>
                <w:sz w:val="18"/>
                <w:szCs w:val="18"/>
              </w:rPr>
              <w:br/>
              <w:t>Study Session 12–53–e</w:t>
            </w:r>
            <w:r w:rsidRPr="00174706">
              <w:rPr>
                <w:rFonts w:ascii="Segoe UI" w:eastAsia="宋体" w:hAnsi="Segoe UI" w:cs="Segoe UI"/>
                <w:color w:val="333333"/>
                <w:kern w:val="0"/>
                <w:sz w:val="18"/>
                <w:szCs w:val="18"/>
              </w:rPr>
              <w:br/>
              <w:t xml:space="preserve">Calculate and interpret beta. </w:t>
            </w:r>
            <w:r w:rsidRPr="00174706">
              <w:rPr>
                <w:rFonts w:ascii="Segoe UI" w:eastAsia="宋体" w:hAnsi="Segoe UI" w:cs="Segoe UI"/>
                <w:color w:val="333333"/>
                <w:kern w:val="0"/>
                <w:sz w:val="18"/>
                <w:szCs w:val="18"/>
              </w:rPr>
              <w:br/>
            </w:r>
            <w:r w:rsidRPr="00174706">
              <w:rPr>
                <w:rFonts w:ascii="Segoe UI" w:eastAsia="宋体" w:hAnsi="Segoe UI" w:cs="Segoe UI"/>
                <w:color w:val="333333"/>
                <w:kern w:val="0"/>
                <w:sz w:val="18"/>
                <w:szCs w:val="18"/>
              </w:rPr>
              <w:br/>
            </w:r>
            <w:r>
              <w:rPr>
                <w:rFonts w:ascii="Segoe UI" w:eastAsia="宋体" w:hAnsi="Segoe UI" w:cs="Segoe UI"/>
                <w:noProof/>
                <w:color w:val="333333"/>
                <w:kern w:val="0"/>
                <w:sz w:val="18"/>
                <w:szCs w:val="18"/>
              </w:rPr>
              <w:drawing>
                <wp:inline distT="0" distB="0" distL="0" distR="0">
                  <wp:extent cx="2228850" cy="1019175"/>
                  <wp:effectExtent l="19050" t="0" r="0" b="0"/>
                  <wp:docPr id="396" name="图片 396" descr="https://nlb4.testrac.com/cfa/graphics/PML1V1201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nlb4.testrac.com/cfa/graphics/PML1V1201103.jpg"/>
                          <pic:cNvPicPr>
                            <a:picLocks noChangeAspect="1" noChangeArrowheads="1"/>
                          </pic:cNvPicPr>
                        </pic:nvPicPr>
                        <pic:blipFill>
                          <a:blip r:embed="rId136"/>
                          <a:srcRect/>
                          <a:stretch>
                            <a:fillRect/>
                          </a:stretch>
                        </pic:blipFill>
                        <pic:spPr bwMode="auto">
                          <a:xfrm>
                            <a:off x="0" y="0"/>
                            <a:ext cx="2228850" cy="1019175"/>
                          </a:xfrm>
                          <a:prstGeom prst="rect">
                            <a:avLst/>
                          </a:prstGeom>
                          <a:noFill/>
                          <a:ln w="9525">
                            <a:noFill/>
                            <a:miter lim="800000"/>
                            <a:headEnd/>
                            <a:tailEnd/>
                          </a:ln>
                        </pic:spPr>
                      </pic:pic>
                    </a:graphicData>
                  </a:graphic>
                </wp:inline>
              </w:drawing>
            </w:r>
            <w:r w:rsidRPr="00174706">
              <w:rPr>
                <w:rFonts w:ascii="Segoe UI" w:eastAsia="宋体" w:hAnsi="Segoe UI" w:cs="Segoe UI"/>
                <w:color w:val="333333"/>
                <w:kern w:val="0"/>
                <w:sz w:val="18"/>
                <w:szCs w:val="18"/>
              </w:rPr>
              <w:t> </w:t>
            </w:r>
          </w:p>
        </w:tc>
      </w:tr>
    </w:tbl>
    <w:p w:rsidR="00174706" w:rsidRPr="00174706" w:rsidRDefault="00174706"/>
    <w:sectPr w:rsidR="00174706" w:rsidRPr="001747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A3D" w:rsidRDefault="009D3A3D" w:rsidP="009D3A3D">
      <w:r>
        <w:separator/>
      </w:r>
    </w:p>
  </w:endnote>
  <w:endnote w:type="continuationSeparator" w:id="1">
    <w:p w:rsidR="009D3A3D" w:rsidRDefault="009D3A3D" w:rsidP="009D3A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A3D" w:rsidRDefault="009D3A3D" w:rsidP="009D3A3D">
      <w:r>
        <w:separator/>
      </w:r>
    </w:p>
  </w:footnote>
  <w:footnote w:type="continuationSeparator" w:id="1">
    <w:p w:rsidR="009D3A3D" w:rsidRDefault="009D3A3D" w:rsidP="009D3A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8214F"/>
    <w:multiLevelType w:val="multilevel"/>
    <w:tmpl w:val="22C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077CE1"/>
    <w:multiLevelType w:val="multilevel"/>
    <w:tmpl w:val="19A2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A3D"/>
    <w:rsid w:val="00157859"/>
    <w:rsid w:val="00174706"/>
    <w:rsid w:val="001B0E88"/>
    <w:rsid w:val="00296C41"/>
    <w:rsid w:val="00363A5E"/>
    <w:rsid w:val="00443ED6"/>
    <w:rsid w:val="00467DE8"/>
    <w:rsid w:val="005F5BB6"/>
    <w:rsid w:val="008070C7"/>
    <w:rsid w:val="008144A9"/>
    <w:rsid w:val="009D3A3D"/>
    <w:rsid w:val="00AF1567"/>
    <w:rsid w:val="00B5389D"/>
    <w:rsid w:val="00C17D0F"/>
    <w:rsid w:val="00C7594B"/>
    <w:rsid w:val="00E822D7"/>
    <w:rsid w:val="00EB4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A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A3D"/>
    <w:rPr>
      <w:sz w:val="18"/>
      <w:szCs w:val="18"/>
    </w:rPr>
  </w:style>
  <w:style w:type="paragraph" w:styleId="a4">
    <w:name w:val="footer"/>
    <w:basedOn w:val="a"/>
    <w:link w:val="Char0"/>
    <w:uiPriority w:val="99"/>
    <w:semiHidden/>
    <w:unhideWhenUsed/>
    <w:rsid w:val="009D3A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A3D"/>
    <w:rPr>
      <w:sz w:val="18"/>
      <w:szCs w:val="18"/>
    </w:rPr>
  </w:style>
  <w:style w:type="paragraph" w:styleId="a5">
    <w:name w:val="Normal (Web)"/>
    <w:basedOn w:val="a"/>
    <w:uiPriority w:val="99"/>
    <w:unhideWhenUsed/>
    <w:rsid w:val="00E822D7"/>
    <w:pPr>
      <w:widowControl/>
      <w:spacing w:before="225" w:after="225" w:line="300" w:lineRule="auto"/>
      <w:ind w:left="225" w:right="225"/>
      <w:jc w:val="left"/>
    </w:pPr>
    <w:rPr>
      <w:rFonts w:ascii="宋体" w:eastAsia="宋体" w:hAnsi="宋体" w:cs="宋体"/>
      <w:kern w:val="0"/>
      <w:sz w:val="24"/>
      <w:szCs w:val="24"/>
    </w:rPr>
  </w:style>
  <w:style w:type="paragraph" w:styleId="a6">
    <w:name w:val="Balloon Text"/>
    <w:basedOn w:val="a"/>
    <w:link w:val="Char1"/>
    <w:uiPriority w:val="99"/>
    <w:semiHidden/>
    <w:unhideWhenUsed/>
    <w:rsid w:val="008070C7"/>
    <w:rPr>
      <w:sz w:val="18"/>
      <w:szCs w:val="18"/>
    </w:rPr>
  </w:style>
  <w:style w:type="character" w:customStyle="1" w:styleId="Char1">
    <w:name w:val="批注框文本 Char"/>
    <w:basedOn w:val="a0"/>
    <w:link w:val="a6"/>
    <w:uiPriority w:val="99"/>
    <w:semiHidden/>
    <w:rsid w:val="008070C7"/>
    <w:rPr>
      <w:sz w:val="18"/>
      <w:szCs w:val="18"/>
    </w:rPr>
  </w:style>
</w:styles>
</file>

<file path=word/webSettings.xml><?xml version="1.0" encoding="utf-8"?>
<w:webSettings xmlns:r="http://schemas.openxmlformats.org/officeDocument/2006/relationships" xmlns:w="http://schemas.openxmlformats.org/wordprocessingml/2006/main">
  <w:divs>
    <w:div w:id="60443173">
      <w:bodyDiv w:val="1"/>
      <w:marLeft w:val="0"/>
      <w:marRight w:val="0"/>
      <w:marTop w:val="0"/>
      <w:marBottom w:val="0"/>
      <w:divBdr>
        <w:top w:val="none" w:sz="0" w:space="0" w:color="auto"/>
        <w:left w:val="none" w:sz="0" w:space="0" w:color="auto"/>
        <w:bottom w:val="none" w:sz="0" w:space="0" w:color="auto"/>
        <w:right w:val="none" w:sz="0" w:space="0" w:color="auto"/>
      </w:divBdr>
    </w:div>
    <w:div w:id="74672976">
      <w:bodyDiv w:val="1"/>
      <w:marLeft w:val="0"/>
      <w:marRight w:val="0"/>
      <w:marTop w:val="0"/>
      <w:marBottom w:val="0"/>
      <w:divBdr>
        <w:top w:val="none" w:sz="0" w:space="0" w:color="auto"/>
        <w:left w:val="none" w:sz="0" w:space="0" w:color="auto"/>
        <w:bottom w:val="none" w:sz="0" w:space="0" w:color="auto"/>
        <w:right w:val="none" w:sz="0" w:space="0" w:color="auto"/>
      </w:divBdr>
    </w:div>
    <w:div w:id="170031033">
      <w:bodyDiv w:val="1"/>
      <w:marLeft w:val="0"/>
      <w:marRight w:val="0"/>
      <w:marTop w:val="0"/>
      <w:marBottom w:val="0"/>
      <w:divBdr>
        <w:top w:val="none" w:sz="0" w:space="0" w:color="auto"/>
        <w:left w:val="none" w:sz="0" w:space="0" w:color="auto"/>
        <w:bottom w:val="none" w:sz="0" w:space="0" w:color="auto"/>
        <w:right w:val="none" w:sz="0" w:space="0" w:color="auto"/>
      </w:divBdr>
    </w:div>
    <w:div w:id="183130345">
      <w:bodyDiv w:val="1"/>
      <w:marLeft w:val="0"/>
      <w:marRight w:val="0"/>
      <w:marTop w:val="0"/>
      <w:marBottom w:val="0"/>
      <w:divBdr>
        <w:top w:val="none" w:sz="0" w:space="0" w:color="auto"/>
        <w:left w:val="none" w:sz="0" w:space="0" w:color="auto"/>
        <w:bottom w:val="none" w:sz="0" w:space="0" w:color="auto"/>
        <w:right w:val="none" w:sz="0" w:space="0" w:color="auto"/>
      </w:divBdr>
    </w:div>
    <w:div w:id="255679630">
      <w:bodyDiv w:val="1"/>
      <w:marLeft w:val="0"/>
      <w:marRight w:val="0"/>
      <w:marTop w:val="0"/>
      <w:marBottom w:val="0"/>
      <w:divBdr>
        <w:top w:val="none" w:sz="0" w:space="0" w:color="auto"/>
        <w:left w:val="none" w:sz="0" w:space="0" w:color="auto"/>
        <w:bottom w:val="none" w:sz="0" w:space="0" w:color="auto"/>
        <w:right w:val="none" w:sz="0" w:space="0" w:color="auto"/>
      </w:divBdr>
    </w:div>
    <w:div w:id="414475953">
      <w:bodyDiv w:val="1"/>
      <w:marLeft w:val="0"/>
      <w:marRight w:val="0"/>
      <w:marTop w:val="0"/>
      <w:marBottom w:val="0"/>
      <w:divBdr>
        <w:top w:val="none" w:sz="0" w:space="0" w:color="auto"/>
        <w:left w:val="none" w:sz="0" w:space="0" w:color="auto"/>
        <w:bottom w:val="none" w:sz="0" w:space="0" w:color="auto"/>
        <w:right w:val="none" w:sz="0" w:space="0" w:color="auto"/>
      </w:divBdr>
    </w:div>
    <w:div w:id="438378440">
      <w:bodyDiv w:val="1"/>
      <w:marLeft w:val="0"/>
      <w:marRight w:val="0"/>
      <w:marTop w:val="0"/>
      <w:marBottom w:val="0"/>
      <w:divBdr>
        <w:top w:val="none" w:sz="0" w:space="0" w:color="auto"/>
        <w:left w:val="none" w:sz="0" w:space="0" w:color="auto"/>
        <w:bottom w:val="none" w:sz="0" w:space="0" w:color="auto"/>
        <w:right w:val="none" w:sz="0" w:space="0" w:color="auto"/>
      </w:divBdr>
    </w:div>
    <w:div w:id="539560928">
      <w:bodyDiv w:val="1"/>
      <w:marLeft w:val="0"/>
      <w:marRight w:val="0"/>
      <w:marTop w:val="0"/>
      <w:marBottom w:val="0"/>
      <w:divBdr>
        <w:top w:val="none" w:sz="0" w:space="0" w:color="auto"/>
        <w:left w:val="none" w:sz="0" w:space="0" w:color="auto"/>
        <w:bottom w:val="none" w:sz="0" w:space="0" w:color="auto"/>
        <w:right w:val="none" w:sz="0" w:space="0" w:color="auto"/>
      </w:divBdr>
    </w:div>
    <w:div w:id="549415655">
      <w:bodyDiv w:val="1"/>
      <w:marLeft w:val="0"/>
      <w:marRight w:val="0"/>
      <w:marTop w:val="0"/>
      <w:marBottom w:val="0"/>
      <w:divBdr>
        <w:top w:val="none" w:sz="0" w:space="0" w:color="auto"/>
        <w:left w:val="none" w:sz="0" w:space="0" w:color="auto"/>
        <w:bottom w:val="none" w:sz="0" w:space="0" w:color="auto"/>
        <w:right w:val="none" w:sz="0" w:space="0" w:color="auto"/>
      </w:divBdr>
    </w:div>
    <w:div w:id="630668401">
      <w:bodyDiv w:val="1"/>
      <w:marLeft w:val="0"/>
      <w:marRight w:val="0"/>
      <w:marTop w:val="0"/>
      <w:marBottom w:val="0"/>
      <w:divBdr>
        <w:top w:val="none" w:sz="0" w:space="0" w:color="auto"/>
        <w:left w:val="none" w:sz="0" w:space="0" w:color="auto"/>
        <w:bottom w:val="none" w:sz="0" w:space="0" w:color="auto"/>
        <w:right w:val="none" w:sz="0" w:space="0" w:color="auto"/>
      </w:divBdr>
    </w:div>
    <w:div w:id="711618109">
      <w:bodyDiv w:val="1"/>
      <w:marLeft w:val="0"/>
      <w:marRight w:val="0"/>
      <w:marTop w:val="0"/>
      <w:marBottom w:val="0"/>
      <w:divBdr>
        <w:top w:val="none" w:sz="0" w:space="0" w:color="auto"/>
        <w:left w:val="none" w:sz="0" w:space="0" w:color="auto"/>
        <w:bottom w:val="none" w:sz="0" w:space="0" w:color="auto"/>
        <w:right w:val="none" w:sz="0" w:space="0" w:color="auto"/>
      </w:divBdr>
    </w:div>
    <w:div w:id="827868596">
      <w:bodyDiv w:val="1"/>
      <w:marLeft w:val="0"/>
      <w:marRight w:val="0"/>
      <w:marTop w:val="0"/>
      <w:marBottom w:val="0"/>
      <w:divBdr>
        <w:top w:val="none" w:sz="0" w:space="0" w:color="auto"/>
        <w:left w:val="none" w:sz="0" w:space="0" w:color="auto"/>
        <w:bottom w:val="none" w:sz="0" w:space="0" w:color="auto"/>
        <w:right w:val="none" w:sz="0" w:space="0" w:color="auto"/>
      </w:divBdr>
    </w:div>
    <w:div w:id="861672105">
      <w:bodyDiv w:val="1"/>
      <w:marLeft w:val="0"/>
      <w:marRight w:val="0"/>
      <w:marTop w:val="0"/>
      <w:marBottom w:val="0"/>
      <w:divBdr>
        <w:top w:val="none" w:sz="0" w:space="0" w:color="auto"/>
        <w:left w:val="none" w:sz="0" w:space="0" w:color="auto"/>
        <w:bottom w:val="none" w:sz="0" w:space="0" w:color="auto"/>
        <w:right w:val="none" w:sz="0" w:space="0" w:color="auto"/>
      </w:divBdr>
    </w:div>
    <w:div w:id="891430751">
      <w:bodyDiv w:val="1"/>
      <w:marLeft w:val="0"/>
      <w:marRight w:val="0"/>
      <w:marTop w:val="0"/>
      <w:marBottom w:val="0"/>
      <w:divBdr>
        <w:top w:val="none" w:sz="0" w:space="0" w:color="auto"/>
        <w:left w:val="none" w:sz="0" w:space="0" w:color="auto"/>
        <w:bottom w:val="none" w:sz="0" w:space="0" w:color="auto"/>
        <w:right w:val="none" w:sz="0" w:space="0" w:color="auto"/>
      </w:divBdr>
    </w:div>
    <w:div w:id="896013464">
      <w:bodyDiv w:val="1"/>
      <w:marLeft w:val="0"/>
      <w:marRight w:val="0"/>
      <w:marTop w:val="0"/>
      <w:marBottom w:val="0"/>
      <w:divBdr>
        <w:top w:val="none" w:sz="0" w:space="0" w:color="auto"/>
        <w:left w:val="none" w:sz="0" w:space="0" w:color="auto"/>
        <w:bottom w:val="none" w:sz="0" w:space="0" w:color="auto"/>
        <w:right w:val="none" w:sz="0" w:space="0" w:color="auto"/>
      </w:divBdr>
    </w:div>
    <w:div w:id="927083083">
      <w:bodyDiv w:val="1"/>
      <w:marLeft w:val="0"/>
      <w:marRight w:val="0"/>
      <w:marTop w:val="0"/>
      <w:marBottom w:val="0"/>
      <w:divBdr>
        <w:top w:val="none" w:sz="0" w:space="0" w:color="auto"/>
        <w:left w:val="none" w:sz="0" w:space="0" w:color="auto"/>
        <w:bottom w:val="none" w:sz="0" w:space="0" w:color="auto"/>
        <w:right w:val="none" w:sz="0" w:space="0" w:color="auto"/>
      </w:divBdr>
    </w:div>
    <w:div w:id="955210451">
      <w:bodyDiv w:val="1"/>
      <w:marLeft w:val="0"/>
      <w:marRight w:val="0"/>
      <w:marTop w:val="0"/>
      <w:marBottom w:val="0"/>
      <w:divBdr>
        <w:top w:val="none" w:sz="0" w:space="0" w:color="auto"/>
        <w:left w:val="none" w:sz="0" w:space="0" w:color="auto"/>
        <w:bottom w:val="none" w:sz="0" w:space="0" w:color="auto"/>
        <w:right w:val="none" w:sz="0" w:space="0" w:color="auto"/>
      </w:divBdr>
    </w:div>
    <w:div w:id="975447382">
      <w:bodyDiv w:val="1"/>
      <w:marLeft w:val="0"/>
      <w:marRight w:val="0"/>
      <w:marTop w:val="0"/>
      <w:marBottom w:val="0"/>
      <w:divBdr>
        <w:top w:val="none" w:sz="0" w:space="0" w:color="auto"/>
        <w:left w:val="none" w:sz="0" w:space="0" w:color="auto"/>
        <w:bottom w:val="none" w:sz="0" w:space="0" w:color="auto"/>
        <w:right w:val="none" w:sz="0" w:space="0" w:color="auto"/>
      </w:divBdr>
    </w:div>
    <w:div w:id="999888203">
      <w:bodyDiv w:val="1"/>
      <w:marLeft w:val="0"/>
      <w:marRight w:val="0"/>
      <w:marTop w:val="0"/>
      <w:marBottom w:val="0"/>
      <w:divBdr>
        <w:top w:val="none" w:sz="0" w:space="0" w:color="auto"/>
        <w:left w:val="none" w:sz="0" w:space="0" w:color="auto"/>
        <w:bottom w:val="none" w:sz="0" w:space="0" w:color="auto"/>
        <w:right w:val="none" w:sz="0" w:space="0" w:color="auto"/>
      </w:divBdr>
    </w:div>
    <w:div w:id="1015114094">
      <w:bodyDiv w:val="1"/>
      <w:marLeft w:val="0"/>
      <w:marRight w:val="0"/>
      <w:marTop w:val="0"/>
      <w:marBottom w:val="0"/>
      <w:divBdr>
        <w:top w:val="none" w:sz="0" w:space="0" w:color="auto"/>
        <w:left w:val="none" w:sz="0" w:space="0" w:color="auto"/>
        <w:bottom w:val="none" w:sz="0" w:space="0" w:color="auto"/>
        <w:right w:val="none" w:sz="0" w:space="0" w:color="auto"/>
      </w:divBdr>
    </w:div>
    <w:div w:id="1015116225">
      <w:bodyDiv w:val="1"/>
      <w:marLeft w:val="0"/>
      <w:marRight w:val="0"/>
      <w:marTop w:val="0"/>
      <w:marBottom w:val="0"/>
      <w:divBdr>
        <w:top w:val="none" w:sz="0" w:space="0" w:color="auto"/>
        <w:left w:val="none" w:sz="0" w:space="0" w:color="auto"/>
        <w:bottom w:val="none" w:sz="0" w:space="0" w:color="auto"/>
        <w:right w:val="none" w:sz="0" w:space="0" w:color="auto"/>
      </w:divBdr>
    </w:div>
    <w:div w:id="1138453537">
      <w:bodyDiv w:val="1"/>
      <w:marLeft w:val="0"/>
      <w:marRight w:val="0"/>
      <w:marTop w:val="0"/>
      <w:marBottom w:val="0"/>
      <w:divBdr>
        <w:top w:val="none" w:sz="0" w:space="0" w:color="auto"/>
        <w:left w:val="none" w:sz="0" w:space="0" w:color="auto"/>
        <w:bottom w:val="none" w:sz="0" w:space="0" w:color="auto"/>
        <w:right w:val="none" w:sz="0" w:space="0" w:color="auto"/>
      </w:divBdr>
    </w:div>
    <w:div w:id="1229806847">
      <w:bodyDiv w:val="1"/>
      <w:marLeft w:val="0"/>
      <w:marRight w:val="0"/>
      <w:marTop w:val="0"/>
      <w:marBottom w:val="0"/>
      <w:divBdr>
        <w:top w:val="none" w:sz="0" w:space="0" w:color="auto"/>
        <w:left w:val="none" w:sz="0" w:space="0" w:color="auto"/>
        <w:bottom w:val="none" w:sz="0" w:space="0" w:color="auto"/>
        <w:right w:val="none" w:sz="0" w:space="0" w:color="auto"/>
      </w:divBdr>
    </w:div>
    <w:div w:id="1239095599">
      <w:bodyDiv w:val="1"/>
      <w:marLeft w:val="0"/>
      <w:marRight w:val="0"/>
      <w:marTop w:val="0"/>
      <w:marBottom w:val="0"/>
      <w:divBdr>
        <w:top w:val="none" w:sz="0" w:space="0" w:color="auto"/>
        <w:left w:val="none" w:sz="0" w:space="0" w:color="auto"/>
        <w:bottom w:val="none" w:sz="0" w:space="0" w:color="auto"/>
        <w:right w:val="none" w:sz="0" w:space="0" w:color="auto"/>
      </w:divBdr>
    </w:div>
    <w:div w:id="1258562201">
      <w:bodyDiv w:val="1"/>
      <w:marLeft w:val="0"/>
      <w:marRight w:val="0"/>
      <w:marTop w:val="0"/>
      <w:marBottom w:val="0"/>
      <w:divBdr>
        <w:top w:val="none" w:sz="0" w:space="0" w:color="auto"/>
        <w:left w:val="none" w:sz="0" w:space="0" w:color="auto"/>
        <w:bottom w:val="none" w:sz="0" w:space="0" w:color="auto"/>
        <w:right w:val="none" w:sz="0" w:space="0" w:color="auto"/>
      </w:divBdr>
    </w:div>
    <w:div w:id="1373534106">
      <w:bodyDiv w:val="1"/>
      <w:marLeft w:val="0"/>
      <w:marRight w:val="0"/>
      <w:marTop w:val="0"/>
      <w:marBottom w:val="0"/>
      <w:divBdr>
        <w:top w:val="none" w:sz="0" w:space="0" w:color="auto"/>
        <w:left w:val="none" w:sz="0" w:space="0" w:color="auto"/>
        <w:bottom w:val="none" w:sz="0" w:space="0" w:color="auto"/>
        <w:right w:val="none" w:sz="0" w:space="0" w:color="auto"/>
      </w:divBdr>
    </w:div>
    <w:div w:id="1460101433">
      <w:bodyDiv w:val="1"/>
      <w:marLeft w:val="0"/>
      <w:marRight w:val="0"/>
      <w:marTop w:val="0"/>
      <w:marBottom w:val="0"/>
      <w:divBdr>
        <w:top w:val="none" w:sz="0" w:space="0" w:color="auto"/>
        <w:left w:val="none" w:sz="0" w:space="0" w:color="auto"/>
        <w:bottom w:val="none" w:sz="0" w:space="0" w:color="auto"/>
        <w:right w:val="none" w:sz="0" w:space="0" w:color="auto"/>
      </w:divBdr>
    </w:div>
    <w:div w:id="1508593831">
      <w:bodyDiv w:val="1"/>
      <w:marLeft w:val="0"/>
      <w:marRight w:val="0"/>
      <w:marTop w:val="0"/>
      <w:marBottom w:val="0"/>
      <w:divBdr>
        <w:top w:val="none" w:sz="0" w:space="0" w:color="auto"/>
        <w:left w:val="none" w:sz="0" w:space="0" w:color="auto"/>
        <w:bottom w:val="none" w:sz="0" w:space="0" w:color="auto"/>
        <w:right w:val="none" w:sz="0" w:space="0" w:color="auto"/>
      </w:divBdr>
    </w:div>
    <w:div w:id="1526601335">
      <w:bodyDiv w:val="1"/>
      <w:marLeft w:val="0"/>
      <w:marRight w:val="0"/>
      <w:marTop w:val="0"/>
      <w:marBottom w:val="0"/>
      <w:divBdr>
        <w:top w:val="none" w:sz="0" w:space="0" w:color="auto"/>
        <w:left w:val="none" w:sz="0" w:space="0" w:color="auto"/>
        <w:bottom w:val="none" w:sz="0" w:space="0" w:color="auto"/>
        <w:right w:val="none" w:sz="0" w:space="0" w:color="auto"/>
      </w:divBdr>
    </w:div>
    <w:div w:id="1574050063">
      <w:bodyDiv w:val="1"/>
      <w:marLeft w:val="0"/>
      <w:marRight w:val="0"/>
      <w:marTop w:val="0"/>
      <w:marBottom w:val="0"/>
      <w:divBdr>
        <w:top w:val="none" w:sz="0" w:space="0" w:color="auto"/>
        <w:left w:val="none" w:sz="0" w:space="0" w:color="auto"/>
        <w:bottom w:val="none" w:sz="0" w:space="0" w:color="auto"/>
        <w:right w:val="none" w:sz="0" w:space="0" w:color="auto"/>
      </w:divBdr>
    </w:div>
    <w:div w:id="1595162710">
      <w:bodyDiv w:val="1"/>
      <w:marLeft w:val="0"/>
      <w:marRight w:val="0"/>
      <w:marTop w:val="0"/>
      <w:marBottom w:val="0"/>
      <w:divBdr>
        <w:top w:val="none" w:sz="0" w:space="0" w:color="auto"/>
        <w:left w:val="none" w:sz="0" w:space="0" w:color="auto"/>
        <w:bottom w:val="none" w:sz="0" w:space="0" w:color="auto"/>
        <w:right w:val="none" w:sz="0" w:space="0" w:color="auto"/>
      </w:divBdr>
    </w:div>
    <w:div w:id="1621838659">
      <w:bodyDiv w:val="1"/>
      <w:marLeft w:val="0"/>
      <w:marRight w:val="0"/>
      <w:marTop w:val="0"/>
      <w:marBottom w:val="0"/>
      <w:divBdr>
        <w:top w:val="none" w:sz="0" w:space="0" w:color="auto"/>
        <w:left w:val="none" w:sz="0" w:space="0" w:color="auto"/>
        <w:bottom w:val="none" w:sz="0" w:space="0" w:color="auto"/>
        <w:right w:val="none" w:sz="0" w:space="0" w:color="auto"/>
      </w:divBdr>
    </w:div>
    <w:div w:id="1651667633">
      <w:bodyDiv w:val="1"/>
      <w:marLeft w:val="0"/>
      <w:marRight w:val="0"/>
      <w:marTop w:val="0"/>
      <w:marBottom w:val="0"/>
      <w:divBdr>
        <w:top w:val="none" w:sz="0" w:space="0" w:color="auto"/>
        <w:left w:val="none" w:sz="0" w:space="0" w:color="auto"/>
        <w:bottom w:val="none" w:sz="0" w:space="0" w:color="auto"/>
        <w:right w:val="none" w:sz="0" w:space="0" w:color="auto"/>
      </w:divBdr>
    </w:div>
    <w:div w:id="1792282931">
      <w:bodyDiv w:val="1"/>
      <w:marLeft w:val="0"/>
      <w:marRight w:val="0"/>
      <w:marTop w:val="0"/>
      <w:marBottom w:val="0"/>
      <w:divBdr>
        <w:top w:val="none" w:sz="0" w:space="0" w:color="auto"/>
        <w:left w:val="none" w:sz="0" w:space="0" w:color="auto"/>
        <w:bottom w:val="none" w:sz="0" w:space="0" w:color="auto"/>
        <w:right w:val="none" w:sz="0" w:space="0" w:color="auto"/>
      </w:divBdr>
    </w:div>
    <w:div w:id="1799496433">
      <w:bodyDiv w:val="1"/>
      <w:marLeft w:val="0"/>
      <w:marRight w:val="0"/>
      <w:marTop w:val="0"/>
      <w:marBottom w:val="0"/>
      <w:divBdr>
        <w:top w:val="none" w:sz="0" w:space="0" w:color="auto"/>
        <w:left w:val="none" w:sz="0" w:space="0" w:color="auto"/>
        <w:bottom w:val="none" w:sz="0" w:space="0" w:color="auto"/>
        <w:right w:val="none" w:sz="0" w:space="0" w:color="auto"/>
      </w:divBdr>
    </w:div>
    <w:div w:id="1809544454">
      <w:bodyDiv w:val="1"/>
      <w:marLeft w:val="0"/>
      <w:marRight w:val="0"/>
      <w:marTop w:val="0"/>
      <w:marBottom w:val="0"/>
      <w:divBdr>
        <w:top w:val="none" w:sz="0" w:space="0" w:color="auto"/>
        <w:left w:val="none" w:sz="0" w:space="0" w:color="auto"/>
        <w:bottom w:val="none" w:sz="0" w:space="0" w:color="auto"/>
        <w:right w:val="none" w:sz="0" w:space="0" w:color="auto"/>
      </w:divBdr>
    </w:div>
    <w:div w:id="1848984345">
      <w:bodyDiv w:val="1"/>
      <w:marLeft w:val="0"/>
      <w:marRight w:val="0"/>
      <w:marTop w:val="0"/>
      <w:marBottom w:val="0"/>
      <w:divBdr>
        <w:top w:val="none" w:sz="0" w:space="0" w:color="auto"/>
        <w:left w:val="none" w:sz="0" w:space="0" w:color="auto"/>
        <w:bottom w:val="none" w:sz="0" w:space="0" w:color="auto"/>
        <w:right w:val="none" w:sz="0" w:space="0" w:color="auto"/>
      </w:divBdr>
    </w:div>
    <w:div w:id="1854952938">
      <w:bodyDiv w:val="1"/>
      <w:marLeft w:val="0"/>
      <w:marRight w:val="0"/>
      <w:marTop w:val="0"/>
      <w:marBottom w:val="0"/>
      <w:divBdr>
        <w:top w:val="none" w:sz="0" w:space="0" w:color="auto"/>
        <w:left w:val="none" w:sz="0" w:space="0" w:color="auto"/>
        <w:bottom w:val="none" w:sz="0" w:space="0" w:color="auto"/>
        <w:right w:val="none" w:sz="0" w:space="0" w:color="auto"/>
      </w:divBdr>
    </w:div>
    <w:div w:id="1922525862">
      <w:bodyDiv w:val="1"/>
      <w:marLeft w:val="0"/>
      <w:marRight w:val="0"/>
      <w:marTop w:val="0"/>
      <w:marBottom w:val="0"/>
      <w:divBdr>
        <w:top w:val="none" w:sz="0" w:space="0" w:color="auto"/>
        <w:left w:val="none" w:sz="0" w:space="0" w:color="auto"/>
        <w:bottom w:val="none" w:sz="0" w:space="0" w:color="auto"/>
        <w:right w:val="none" w:sz="0" w:space="0" w:color="auto"/>
      </w:divBdr>
    </w:div>
    <w:div w:id="1973096315">
      <w:bodyDiv w:val="1"/>
      <w:marLeft w:val="0"/>
      <w:marRight w:val="0"/>
      <w:marTop w:val="0"/>
      <w:marBottom w:val="0"/>
      <w:divBdr>
        <w:top w:val="none" w:sz="0" w:space="0" w:color="auto"/>
        <w:left w:val="none" w:sz="0" w:space="0" w:color="auto"/>
        <w:bottom w:val="none" w:sz="0" w:space="0" w:color="auto"/>
        <w:right w:val="none" w:sz="0" w:space="0" w:color="auto"/>
      </w:divBdr>
    </w:div>
    <w:div w:id="1993366559">
      <w:bodyDiv w:val="1"/>
      <w:marLeft w:val="0"/>
      <w:marRight w:val="0"/>
      <w:marTop w:val="0"/>
      <w:marBottom w:val="0"/>
      <w:divBdr>
        <w:top w:val="none" w:sz="0" w:space="0" w:color="auto"/>
        <w:left w:val="none" w:sz="0" w:space="0" w:color="auto"/>
        <w:bottom w:val="none" w:sz="0" w:space="0" w:color="auto"/>
        <w:right w:val="none" w:sz="0" w:space="0" w:color="auto"/>
      </w:divBdr>
    </w:div>
    <w:div w:id="21348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6.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4.xml"/><Relationship Id="rId68" Type="http://schemas.openxmlformats.org/officeDocument/2006/relationships/control" Target="activeX/activeX58.xml"/><Relationship Id="rId84" Type="http://schemas.openxmlformats.org/officeDocument/2006/relationships/control" Target="activeX/activeX73.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1.xml"/><Relationship Id="rId138" Type="http://schemas.openxmlformats.org/officeDocument/2006/relationships/theme" Target="theme/theme1.xml"/><Relationship Id="rId16" Type="http://schemas.openxmlformats.org/officeDocument/2006/relationships/control" Target="activeX/activeX8.xml"/><Relationship Id="rId107" Type="http://schemas.openxmlformats.org/officeDocument/2006/relationships/control" Target="activeX/activeX96.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3.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28" Type="http://schemas.openxmlformats.org/officeDocument/2006/relationships/control" Target="activeX/activeX117.xml"/><Relationship Id="rId5" Type="http://schemas.openxmlformats.org/officeDocument/2006/relationships/footnotes" Target="footnotes.xml"/><Relationship Id="rId90" Type="http://schemas.openxmlformats.org/officeDocument/2006/relationships/control" Target="activeX/activeX79.xml"/><Relationship Id="rId95" Type="http://schemas.openxmlformats.org/officeDocument/2006/relationships/control" Target="activeX/activeX84.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59.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13" Type="http://schemas.openxmlformats.org/officeDocument/2006/relationships/control" Target="activeX/activeX102.xml"/><Relationship Id="rId118" Type="http://schemas.openxmlformats.org/officeDocument/2006/relationships/control" Target="activeX/activeX107.xml"/><Relationship Id="rId126" Type="http://schemas.openxmlformats.org/officeDocument/2006/relationships/control" Target="activeX/activeX115.xml"/><Relationship Id="rId134" Type="http://schemas.openxmlformats.org/officeDocument/2006/relationships/control" Target="activeX/activeX122.xml"/><Relationship Id="rId8" Type="http://schemas.openxmlformats.org/officeDocument/2006/relationships/control" Target="activeX/activeX1.xml"/><Relationship Id="rId51" Type="http://schemas.openxmlformats.org/officeDocument/2006/relationships/image" Target="media/image3.jpeg"/><Relationship Id="rId72" Type="http://schemas.openxmlformats.org/officeDocument/2006/relationships/control" Target="activeX/activeX61.xml"/><Relationship Id="rId80" Type="http://schemas.openxmlformats.org/officeDocument/2006/relationships/control" Target="activeX/activeX69.xml"/><Relationship Id="rId85" Type="http://schemas.openxmlformats.org/officeDocument/2006/relationships/control" Target="activeX/activeX74.xml"/><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10.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image" Target="media/image4.jpeg"/><Relationship Id="rId103" Type="http://schemas.openxmlformats.org/officeDocument/2006/relationships/control" Target="activeX/activeX92.xml"/><Relationship Id="rId108" Type="http://schemas.openxmlformats.org/officeDocument/2006/relationships/control" Target="activeX/activeX97.xml"/><Relationship Id="rId116" Type="http://schemas.openxmlformats.org/officeDocument/2006/relationships/control" Target="activeX/activeX105.xml"/><Relationship Id="rId124" Type="http://schemas.openxmlformats.org/officeDocument/2006/relationships/control" Target="activeX/activeX113.xml"/><Relationship Id="rId129" Type="http://schemas.openxmlformats.org/officeDocument/2006/relationships/control" Target="activeX/activeX118.xml"/><Relationship Id="rId137"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0.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control" Target="activeX/activeX85.xml"/><Relationship Id="rId111" Type="http://schemas.openxmlformats.org/officeDocument/2006/relationships/control" Target="activeX/activeX100.xml"/><Relationship Id="rId132"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8.xml"/><Relationship Id="rId106" Type="http://schemas.openxmlformats.org/officeDocument/2006/relationships/control" Target="activeX/activeX95.xml"/><Relationship Id="rId114" Type="http://schemas.openxmlformats.org/officeDocument/2006/relationships/control" Target="activeX/activeX103.xml"/><Relationship Id="rId119" Type="http://schemas.openxmlformats.org/officeDocument/2006/relationships/control" Target="activeX/activeX108.xml"/><Relationship Id="rId127" Type="http://schemas.openxmlformats.org/officeDocument/2006/relationships/control" Target="activeX/activeX116.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30" Type="http://schemas.openxmlformats.org/officeDocument/2006/relationships/control" Target="activeX/activeX119.xml"/><Relationship Id="rId135" Type="http://schemas.openxmlformats.org/officeDocument/2006/relationships/control" Target="activeX/activeX123.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98.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5.xml"/><Relationship Id="rId97" Type="http://schemas.openxmlformats.org/officeDocument/2006/relationships/control" Target="activeX/activeX86.xml"/><Relationship Id="rId104" Type="http://schemas.openxmlformats.org/officeDocument/2006/relationships/control" Target="activeX/activeX93.xml"/><Relationship Id="rId120" Type="http://schemas.openxmlformats.org/officeDocument/2006/relationships/control" Target="activeX/activeX109.xml"/><Relationship Id="rId125" Type="http://schemas.openxmlformats.org/officeDocument/2006/relationships/control" Target="activeX/activeX114.xml"/><Relationship Id="rId7" Type="http://schemas.openxmlformats.org/officeDocument/2006/relationships/image" Target="media/image1.wmf"/><Relationship Id="rId71" Type="http://schemas.openxmlformats.org/officeDocument/2006/relationships/image" Target="media/image5.jpeg"/><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6.xml"/><Relationship Id="rId110" Type="http://schemas.openxmlformats.org/officeDocument/2006/relationships/control" Target="activeX/activeX99.xml"/><Relationship Id="rId115" Type="http://schemas.openxmlformats.org/officeDocument/2006/relationships/control" Target="activeX/activeX104.xml"/><Relationship Id="rId131" Type="http://schemas.openxmlformats.org/officeDocument/2006/relationships/control" Target="activeX/activeX120.xml"/><Relationship Id="rId136" Type="http://schemas.openxmlformats.org/officeDocument/2006/relationships/image" Target="media/image7.jpeg"/><Relationship Id="rId61" Type="http://schemas.openxmlformats.org/officeDocument/2006/relationships/control" Target="activeX/activeX52.xml"/><Relationship Id="rId82" Type="http://schemas.openxmlformats.org/officeDocument/2006/relationships/control" Target="activeX/activeX71.xml"/><Relationship Id="rId19"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30</Pages>
  <Words>6538</Words>
  <Characters>37269</Characters>
  <Application>Microsoft Office Word</Application>
  <DocSecurity>0</DocSecurity>
  <Lines>310</Lines>
  <Paragraphs>87</Paragraphs>
  <ScaleCrop>false</ScaleCrop>
  <Company>番茄花园</Company>
  <LinksUpToDate>false</LinksUpToDate>
  <CharactersWithSpaces>43720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19</cp:revision>
  <dcterms:created xsi:type="dcterms:W3CDTF">2011-03-24T04:36:00Z</dcterms:created>
  <dcterms:modified xsi:type="dcterms:W3CDTF">2011-03-24T05:07:00Z</dcterms:modified>
</cp:coreProperties>
</file>