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Bcentx Website Development Plan (HTML, CSS, 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Purpose &amp; 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a blog-focused platform to educate users on making money (online/offline).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User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lands on the Home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Explores recent posts/categories.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Navigates to the Learning Centre for detailed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Visits the Partnership Hub for expert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HTML5, CSS3, JavaScript (ES6+)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Pure CSS or a lightweight framework (e.g., Pico.css, Milligram for quick prototyping)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Vanilla JavaScript for dynamic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Breakdown &amp; Development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(logo, navigation)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section (mission statement: "Teach people how to make money")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"Recent Blog Posts" section (placeholders for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"Popular Income Categories" section (links to Learning Centre categories)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to action: "Explore the Learning Centre"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 (basic links, copyright)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Styling: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for various screen sizes (mobile-first approach).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typography, consistent color scheme.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Visually appealing layout for blog post previews.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(Minimal):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 scrolling for internal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Simple carousel for featured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(consistent with Home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content area for blog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Sidebar for "Categorized Income Types":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Traditional Employment &amp; Career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Hustles &amp; Freelancing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Entrepreneurship &amp; Business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Investing &amp; Financial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Income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Styling: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for blog post listings (e.g., grid or list view).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Styling for individual blog posts (readable text, images, code blocks).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visual distinction for categories in the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(for future dynamic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(Future) Filtering/sorting blog posts by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(Future) Lazy loading of images or content as the user scrolls.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Blog Post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 post title, author,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content area (definitions, methods, pros/cons, practical steps).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posts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to action for Partnership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Styling: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for readability.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formatting for headings, paragraphs,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styling.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(Minimal):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Table of contents generation from headings.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the hub (experts offering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"Sign Up as an Expert" form (placeholder for now).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(Future) Listing of expert profiles (name, specialty, services).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Styling: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styling.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for expert listings (if implemented).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(for future dynamic content):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(Future) Form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(Future) Dynamic loading of expert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Content: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Blog posts within the Learning Centre.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Elements: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Definitions, methods, pros and cons, practical steps for each income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Monetization Streams (Minimal)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Affiliate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Embed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&lt;a&gt;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tags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rel="nofollow"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target="_blank"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relevant blog posts and guides.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(Optional) Track clicks for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Strategy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Links/buttons within the Partnership Hub leading to a contact form or booking system (initially, a placeholder).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(Future) Integration with a third-party booking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Palette: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Green and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Implementation: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--primary-blue: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007bff;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vibrant blue for main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--secondary-blue: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6c757d;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slightly muted blue for secondary 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--light-blue: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e9f5ff;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light blue for backgrounds or accents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--primary-green: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28a745;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strong green for success states or highlights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--secondary-green: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218838;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darker green for hover states or deeper accents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--light-green: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d4edda;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light green for subtle backgrounds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var(--light-blue);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light blue 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grey for text for good contrast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h1, h2, h3, h4, h5, h6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var(--primary-blue);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Headings in primary 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var(--primary-green);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in primary 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var(--primary-green);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 with primary green 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padding: 10px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border-radius: 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var(--secondary-green);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Darker green on hover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apply these variables to other elements as 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for a navigation bar: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.navbar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var(--primary-blue);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white;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call to action section: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.call-to-action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background-color: var(--light-green);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border-left: 5px solid var(--primary-green);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Project: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script.js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First: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out the basic HTML structure for all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Styling: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styling, ensuring responsiveness and incorporating the green and blue color theme.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Interactivity: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dynamic elements and any required client-side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Populate with initial blog post content (can be static HTML for now).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across different browsers and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Enhancements (Post-MVP)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for blog post management (e.g., Node.js with Express, a headless CMS).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for experts.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functionality for blog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Comments section on blog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newsletter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