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Imagine a time long, long ago, when people didn't have coins or bills. If you grew a lot of corn and needed some tools, you'd find a toolmaker and trade your corn for their tools. This was called the barter system. It worked, but it could be a bit inconvenient. What if the toolmaker didn't need corn? It made things complicated.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communities grew and became more organized, a new idea emerged. People started using valuable metals like gold, silver, and copper. These metals were easy to carry and everyone agreed they had value. So, instead of trading corn for tools, you could trade corn for gold, and then use the gold to buy tools. This made trading much simpler and more efficient.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Then, another big change happened. Governments started issuing paper money, which we call fiat currency. This paper money wasn't valuable in itself, but the government guaranteed its worth, and everyone trusted it. This made transactions even faster and easier, and it's largely how we operate today.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we're seeing the dawn of a new era with digital currencies and online transactions. It's a future where money might exist primarily in the digital realm, flowing through networks. From the simple act of trading goods to the complex digital systems of today, the story of money is a continuous journey of innovation, always adapting to how we exchange value in the world.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