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ex-document-conversion-test"/>
    <w:p>
      <w:pPr>
        <w:pStyle w:val="Heading1"/>
      </w:pPr>
      <w:r>
        <w:t xml:space="preserve">Complex Document Conversion Test</w:t>
      </w:r>
    </w:p>
    <w:bookmarkStart w:id="20" w:name="purpose"/>
    <w:p>
      <w:pPr>
        <w:pStyle w:val="Heading2"/>
      </w:pPr>
      <w:r>
        <w:t xml:space="preserve">Purpose</w:t>
      </w:r>
    </w:p>
    <w:p>
      <w:pPr>
        <w:pStyle w:val="FirstParagraph"/>
      </w:pPr>
      <w:r>
        <w:t xml:space="preserve">This document tests bidirectional conversion between Markdown, PDF, and DOCX formats. It includes various formatting elements to verify conversion fidelity.</w:t>
      </w:r>
    </w:p>
    <w:bookmarkEnd w:id="20"/>
    <w:bookmarkStart w:id="33" w:name="text-formatting"/>
    <w:p>
      <w:pPr>
        <w:pStyle w:val="Heading2"/>
      </w:pPr>
      <w:r>
        <w:t xml:space="preserve">Text Formatting</w:t>
      </w:r>
    </w:p>
    <w:p>
      <w:pPr>
        <w:pStyle w:val="FirstParagraph"/>
      </w:pPr>
      <w:r>
        <w:t xml:space="preserve">This paragraph includes</w:t>
      </w:r>
      <w:r>
        <w:t xml:space="preserve"> </w:t>
      </w:r>
      <w:r>
        <w:rPr>
          <w:b/>
          <w:bCs/>
        </w:rPr>
        <w:t xml:space="preserve">bold text</w:t>
      </w:r>
      <w:r>
        <w:t xml:space="preserve">,</w:t>
      </w:r>
      <w:r>
        <w:t xml:space="preserve"> </w:t>
      </w:r>
      <w:r>
        <w:rPr>
          <w:i/>
          <w:iCs/>
        </w:rPr>
        <w:t xml:space="preserve">italic text</w:t>
      </w:r>
      <w:r>
        <w:t xml:space="preserve">,</w:t>
      </w:r>
      <w:r>
        <w:t xml:space="preserve"> </w:t>
      </w:r>
      <w:r>
        <w:rPr>
          <w:b/>
          <w:bCs/>
          <w:i/>
          <w:iCs/>
        </w:rPr>
        <w:t xml:space="preserve">bold and italic</w:t>
      </w:r>
      <w:r>
        <w:t xml:space="preserve">,</w:t>
      </w:r>
      <w:r>
        <w:t xml:space="preserve"> </w:t>
      </w:r>
      <w:r>
        <w:rPr>
          <w:rStyle w:val="VerbatimChar"/>
        </w:rPr>
        <w:t xml:space="preserve">inline code</w:t>
      </w:r>
      <w:r>
        <w:t xml:space="preserve">, and</w:t>
      </w:r>
      <w:r>
        <w:t xml:space="preserve"> </w:t>
      </w:r>
      <w:r>
        <w:rPr>
          <w:strike/>
        </w:rPr>
        <w:t xml:space="preserve">strikethrough</w:t>
      </w:r>
      <w:r>
        <w:t xml:space="preserve"> </w:t>
      </w:r>
      <w:r>
        <w:t xml:space="preserve">formatting.</w:t>
      </w:r>
    </w:p>
    <w:bookmarkStart w:id="23" w:name="lists"/>
    <w:p>
      <w:pPr>
        <w:pStyle w:val="Heading3"/>
      </w:pPr>
      <w:r>
        <w:t xml:space="preserve">Lists</w:t>
      </w:r>
    </w:p>
    <w:bookmarkStart w:id="21" w:name="unordered-list"/>
    <w:p>
      <w:pPr>
        <w:pStyle w:val="Heading4"/>
      </w:pPr>
      <w:r>
        <w:t xml:space="preserve">Unordered List</w:t>
      </w:r>
    </w:p>
    <w:p>
      <w:pPr>
        <w:pStyle w:val="Compact"/>
        <w:numPr>
          <w:ilvl w:val="0"/>
          <w:numId w:val="1001"/>
        </w:numPr>
      </w:pPr>
      <w:r>
        <w:t xml:space="preserve">First item</w:t>
      </w:r>
    </w:p>
    <w:p>
      <w:pPr>
        <w:pStyle w:val="Compact"/>
        <w:numPr>
          <w:ilvl w:val="0"/>
          <w:numId w:val="1001"/>
        </w:numPr>
      </w:pPr>
      <w:r>
        <w:t xml:space="preserve">Second item with</w:t>
      </w:r>
      <w:r>
        <w:t xml:space="preserve"> </w:t>
      </w:r>
      <w:r>
        <w:rPr>
          <w:b/>
          <w:bCs/>
        </w:rPr>
        <w:t xml:space="preserve">bold</w:t>
      </w:r>
    </w:p>
    <w:p>
      <w:pPr>
        <w:pStyle w:val="Compact"/>
        <w:numPr>
          <w:ilvl w:val="1"/>
          <w:numId w:val="1002"/>
        </w:numPr>
      </w:pPr>
      <w:r>
        <w:t xml:space="preserve">Nested item one</w:t>
      </w:r>
    </w:p>
    <w:p>
      <w:pPr>
        <w:pStyle w:val="Compact"/>
        <w:numPr>
          <w:ilvl w:val="1"/>
          <w:numId w:val="1002"/>
        </w:numPr>
      </w:pPr>
      <w:r>
        <w:t xml:space="preserve">Nested item two</w:t>
      </w:r>
    </w:p>
    <w:p>
      <w:pPr>
        <w:pStyle w:val="Compact"/>
        <w:numPr>
          <w:ilvl w:val="2"/>
          <w:numId w:val="1003"/>
        </w:numPr>
      </w:pPr>
      <w:r>
        <w:t xml:space="preserve">Deep nested item</w:t>
      </w:r>
    </w:p>
    <w:p>
      <w:pPr>
        <w:pStyle w:val="Compact"/>
        <w:numPr>
          <w:ilvl w:val="0"/>
          <w:numId w:val="1001"/>
        </w:numPr>
      </w:pPr>
      <w:r>
        <w:t xml:space="preserve">Third item with</w:t>
      </w:r>
      <w:r>
        <w:t xml:space="preserve"> </w:t>
      </w:r>
      <w:r>
        <w:rPr>
          <w:rStyle w:val="VerbatimChar"/>
        </w:rPr>
        <w:t xml:space="preserve">code</w:t>
      </w:r>
    </w:p>
    <w:bookmarkEnd w:id="21"/>
    <w:bookmarkStart w:id="22" w:name="ordered-list"/>
    <w:p>
      <w:pPr>
        <w:pStyle w:val="Heading4"/>
      </w:pPr>
      <w:r>
        <w:t xml:space="preserve">Ordered List</w:t>
      </w:r>
    </w:p>
    <w:p>
      <w:pPr>
        <w:pStyle w:val="Compact"/>
        <w:numPr>
          <w:ilvl w:val="0"/>
          <w:numId w:val="1004"/>
        </w:numPr>
      </w:pPr>
      <w:r>
        <w:t xml:space="preserve">First numbered item</w:t>
      </w:r>
    </w:p>
    <w:p>
      <w:pPr>
        <w:pStyle w:val="Compact"/>
        <w:numPr>
          <w:ilvl w:val="0"/>
          <w:numId w:val="1004"/>
        </w:numPr>
      </w:pPr>
      <w:r>
        <w:t xml:space="preserve">Second numbered item</w:t>
      </w:r>
    </w:p>
    <w:p>
      <w:pPr>
        <w:pStyle w:val="Compact"/>
        <w:numPr>
          <w:ilvl w:val="1"/>
          <w:numId w:val="1005"/>
        </w:numPr>
      </w:pPr>
      <w:r>
        <w:t xml:space="preserve">Nested numbered item</w:t>
      </w:r>
    </w:p>
    <w:p>
      <w:pPr>
        <w:pStyle w:val="Compact"/>
        <w:numPr>
          <w:ilvl w:val="1"/>
          <w:numId w:val="1005"/>
        </w:numPr>
      </w:pPr>
      <w:r>
        <w:t xml:space="preserve">Another nested item</w:t>
      </w:r>
    </w:p>
    <w:p>
      <w:pPr>
        <w:pStyle w:val="Compact"/>
        <w:numPr>
          <w:ilvl w:val="0"/>
          <w:numId w:val="1004"/>
        </w:numPr>
      </w:pPr>
      <w:r>
        <w:t xml:space="preserve">Third numbered item</w:t>
      </w:r>
    </w:p>
    <w:bookmarkEnd w:id="22"/>
    <w:bookmarkEnd w:id="23"/>
    <w:bookmarkStart w:id="24" w:name="code-blocks"/>
    <w:p>
      <w:pPr>
        <w:pStyle w:val="Heading3"/>
      </w:pPr>
      <w:r>
        <w:t xml:space="preserve">Code Blocks</w:t>
      </w:r>
    </w:p>
    <w:p>
      <w:pPr>
        <w:pStyle w:val="FirstParagraph"/>
      </w:pPr>
      <w:r>
        <w:t xml:space="preserve">Here’s a bash code block:</w:t>
      </w:r>
    </w:p>
    <w:p>
      <w:pPr>
        <w:pStyle w:val="SourceCode"/>
      </w:pPr>
      <w:r>
        <w:rPr>
          <w:rStyle w:val="CommentTok"/>
        </w:rPr>
        <w:t xml:space="preserve">#!/bin/bash</w:t>
      </w:r>
      <w:r>
        <w:br/>
      </w:r>
      <w:r>
        <w:rPr>
          <w:rStyle w:val="BuiltInTok"/>
        </w:rPr>
        <w:t xml:space="preserve">source</w:t>
      </w:r>
      <w:r>
        <w:rPr>
          <w:rStyle w:val="NormalTok"/>
        </w:rPr>
        <w:t xml:space="preserve"> </w:t>
      </w:r>
      <w:r>
        <w:rPr>
          <w:rStyle w:val="StringTok"/>
        </w:rPr>
        <w:t xml:space="preserve">"</w:t>
      </w:r>
      <w:r>
        <w:rPr>
          <w:rStyle w:val="VariableTok"/>
        </w:rPr>
        <w:t xml:space="preserve">$CLAUDE_LIB</w:t>
      </w:r>
      <w:r>
        <w:rPr>
          <w:rStyle w:val="StringTok"/>
        </w:rPr>
        <w:t xml:space="preserve">/core/error-handling.sh"</w:t>
      </w:r>
      <w:r>
        <w:br/>
      </w:r>
      <w:r>
        <w:br/>
      </w:r>
      <w:r>
        <w:rPr>
          <w:rStyle w:val="KeywordTok"/>
        </w:rPr>
        <w:t xml:space="preserve">function</w:t>
      </w:r>
      <w:r>
        <w:rPr>
          <w:rStyle w:val="FunctionTok"/>
        </w:rPr>
        <w:t xml:space="preserve"> test_conversion()</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input_file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"Processing: </w:t>
      </w:r>
      <w:r>
        <w:rPr>
          <w:rStyle w:val="VariableTok"/>
        </w:rPr>
        <w:t xml:space="preserve">$input_file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p>
      <w:pPr>
        <w:pStyle w:val="FirstParagraph"/>
      </w:pPr>
      <w:r>
        <w:t xml:space="preserve">And a Python example:</w:t>
      </w:r>
    </w:p>
    <w:p>
      <w:pPr>
        <w:pStyle w:val="SourceCode"/>
      </w:pPr>
      <w:r>
        <w:rPr>
          <w:rStyle w:val="KeywordTok"/>
        </w:rPr>
        <w:t xml:space="preserve">def</w:t>
      </w:r>
      <w:r>
        <w:rPr>
          <w:rStyle w:val="NormalTok"/>
        </w:rPr>
        <w:t xml:space="preserve"> calculate_complexity(code_lines):</w:t>
      </w:r>
      <w:r>
        <w:br/>
      </w:r>
      <w:r>
        <w:rPr>
          <w:rStyle w:val="NormalTok"/>
        </w:rPr>
        <w:t xml:space="preserve">    </w:t>
      </w:r>
      <w:r>
        <w:rPr>
          <w:rStyle w:val="CommentTok"/>
        </w:rPr>
        <w:t xml:space="preserve">"""Calculate cyclomatic complexity."""</w:t>
      </w:r>
      <w:r>
        <w:br/>
      </w:r>
      <w:r>
        <w:rPr>
          <w:rStyle w:val="NormalTok"/>
        </w:rPr>
        <w:t xml:space="preserve">    complexity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code_lines:</w:t>
      </w:r>
      <w:r>
        <w:br/>
      </w:r>
      <w:r>
        <w:rPr>
          <w:rStyle w:val="NormalTok"/>
        </w:rPr>
        <w:t xml:space="preserve">        </w:t>
      </w:r>
      <w:r>
        <w:rPr>
          <w:rStyle w:val="ControlFlowTok"/>
        </w:rPr>
        <w:t xml:space="preserve">if</w:t>
      </w:r>
      <w:r>
        <w:rPr>
          <w:rStyle w:val="NormalTok"/>
        </w:rPr>
        <w:t xml:space="preserve"> line.strip().startswith(</w:t>
      </w:r>
      <w:r>
        <w:rPr>
          <w:rStyle w:val="StringTok"/>
        </w:rPr>
        <w:t xml:space="preserve">'if '</w:t>
      </w:r>
      <w:r>
        <w:rPr>
          <w:rStyle w:val="NormalTok"/>
        </w:rPr>
        <w:t xml:space="preserve">):</w:t>
      </w:r>
      <w:r>
        <w:br/>
      </w:r>
      <w:r>
        <w:rPr>
          <w:rStyle w:val="NormalTok"/>
        </w:rPr>
        <w:t xml:space="preserve">            complexity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complexity</w:t>
      </w:r>
    </w:p>
    <w:bookmarkEnd w:id="24"/>
    <w:bookmarkStart w:id="25" w:name="tables"/>
    <w:p>
      <w:pPr>
        <w:pStyle w:val="Heading3"/>
      </w:pPr>
      <w:r>
        <w:t xml:space="preserve">Tables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Markdown</w:t>
            </w:r>
          </w:p>
        </w:tc>
        <w:tc>
          <w:tcPr/>
          <w:p>
            <w:pPr>
              <w:pStyle w:val="Compact"/>
              <w:jc w:val="left"/>
            </w:pPr>
            <w:r>
              <w:t xml:space="preserve">PDF</w:t>
            </w:r>
          </w:p>
        </w:tc>
        <w:tc>
          <w:tcPr/>
          <w:p>
            <w:pPr>
              <w:pStyle w:val="Compact"/>
              <w:jc w:val="left"/>
            </w:pPr>
            <w:r>
              <w:t xml:space="preserve">DOCX</w:t>
            </w:r>
          </w:p>
        </w:tc>
      </w:tr>
      <w:tr>
        <w:tc>
          <w:tcPr/>
          <w:p>
            <w:pPr>
              <w:pStyle w:val="Compact"/>
              <w:jc w:val="left"/>
            </w:pPr>
            <w:r>
              <w:t xml:space="preserve">Headers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Tables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5"/>
    <w:bookmarkStart w:id="26" w:name="blockquotes"/>
    <w:p>
      <w:pPr>
        <w:pStyle w:val="Heading3"/>
      </w:pPr>
      <w:r>
        <w:t xml:space="preserve">Blockquotes</w:t>
      </w:r>
    </w:p>
    <w:p>
      <w:pPr>
        <w:pStyle w:val="BlockText"/>
      </w:pPr>
      <w:r>
        <w:t xml:space="preserve">This is a blockquote with</w:t>
      </w:r>
      <w:r>
        <w:t xml:space="preserve"> </w:t>
      </w:r>
      <w:r>
        <w:rPr>
          <w:b/>
          <w:bCs/>
        </w:rPr>
        <w:t xml:space="preserve">bold text</w:t>
      </w:r>
      <w:r>
        <w:t xml:space="preserve">.</w:t>
      </w:r>
    </w:p>
    <w:p>
      <w:pPr>
        <w:pStyle w:val="BlockText"/>
      </w:pPr>
      <w:r>
        <w:t xml:space="preserve">It can span multiple paragraphs.</w:t>
      </w:r>
    </w:p>
    <w:p>
      <w:pPr>
        <w:pStyle w:val="BlockText"/>
      </w:pPr>
      <w:r>
        <w:t xml:space="preserve">And even be nested.</w:t>
      </w:r>
    </w:p>
    <w:bookmarkEnd w:id="26"/>
    <w:bookmarkStart w:id="27" w:name="horizontal-rules"/>
    <w:p>
      <w:pPr>
        <w:pStyle w:val="Heading3"/>
      </w:pPr>
      <w:r>
        <w:t xml:space="preserve">Horizontal Rules</w:t>
      </w:r>
    </w:p>
    <w:p>
      <w:pPr>
        <w:pStyle w:val="FirstParagraph"/>
      </w:pPr>
      <w:r>
        <w:t xml:space="preserve">Below is a horizontal rule:</w:t>
      </w:r>
    </w:p>
    <w:p>
      <w:r>
        <w:pict>
          <v:rect style="width:0;height:1.5pt" o:hralign="center" o:hrstd="t" o:hr="t"/>
        </w:pict>
      </w:r>
    </w:p>
    <w:p>
      <w:pPr>
        <w:pStyle w:val="FirstParagraph"/>
      </w:pPr>
      <w:r>
        <w:t xml:space="preserve">Above was a horizontal rule.</w:t>
      </w:r>
    </w:p>
    <w:bookmarkEnd w:id="27"/>
    <w:bookmarkStart w:id="30" w:name="links-and-references"/>
    <w:p>
      <w:pPr>
        <w:pStyle w:val="Heading3"/>
      </w:pPr>
      <w:r>
        <w:t xml:space="preserve">Links and References</w:t>
      </w:r>
    </w:p>
    <w:p>
      <w:pPr>
        <w:pStyle w:val="FirstParagraph"/>
      </w:pPr>
      <w:r>
        <w:t xml:space="preserve">Here’s an inline link to</w:t>
      </w:r>
      <w:r>
        <w:t xml:space="preserve"> </w:t>
      </w:r>
      <w:hyperlink r:id="rId28">
        <w:r>
          <w:rPr>
            <w:rStyle w:val="Hyperlink"/>
          </w:rPr>
          <w:t xml:space="preserve">Claude Code Documentation</w:t>
        </w:r>
      </w:hyperlink>
      <w:r>
        <w:t xml:space="preserve">.</w:t>
      </w:r>
    </w:p>
    <w:p>
      <w:pPr>
        <w:pStyle w:val="BodyText"/>
      </w:pPr>
      <w:r>
        <w:t xml:space="preserve">Here’s a reference-style link to</w:t>
      </w:r>
      <w:r>
        <w:t xml:space="preserve"> </w:t>
      </w:r>
      <w:hyperlink r:id="rId29">
        <w:r>
          <w:rPr>
            <w:rStyle w:val="Hyperlink"/>
          </w:rPr>
          <w:t xml:space="preserve">Google</w:t>
        </w:r>
      </w:hyperlink>
      <w:r>
        <w:t xml:space="preserve">.</w:t>
      </w:r>
    </w:p>
    <w:bookmarkEnd w:id="30"/>
    <w:bookmarkStart w:id="31" w:name="special-characters-and-escaping"/>
    <w:p>
      <w:pPr>
        <w:pStyle w:val="Heading3"/>
      </w:pPr>
      <w:r>
        <w:t xml:space="preserve">Special Characters and Escaping</w:t>
      </w:r>
    </w:p>
    <w:p>
      <w:pPr>
        <w:pStyle w:val="FirstParagraph"/>
      </w:pPr>
      <w:r>
        <w:t xml:space="preserve">Special characters: &amp; &lt; &gt; ” ’</w:t>
      </w:r>
    </w:p>
    <w:p>
      <w:pPr>
        <w:pStyle w:val="BodyText"/>
      </w:pPr>
      <w:r>
        <w:t xml:space="preserve">Escaped characters: * _ ` [ ]</w:t>
      </w:r>
    </w:p>
    <w:p>
      <w:pPr>
        <w:pStyle w:val="BodyText"/>
      </w:pPr>
      <w:r>
        <w:t xml:space="preserve">Mathematical notation: E = mc²</w:t>
      </w:r>
    </w:p>
    <w:p>
      <w:pPr>
        <w:pStyle w:val="BodyText"/>
      </w:pPr>
      <w:r>
        <w:t xml:space="preserve">Unicode symbols: → ← ↔ ✓ ✗ ⚠</w:t>
      </w:r>
    </w:p>
    <w:bookmarkEnd w:id="31"/>
    <w:bookmarkStart w:id="32" w:name="nested-formatting"/>
    <w:p>
      <w:pPr>
        <w:pStyle w:val="Heading3"/>
      </w:pPr>
      <w:r>
        <w:t xml:space="preserve">Nested Formatting</w:t>
      </w:r>
    </w:p>
    <w:p>
      <w:pPr>
        <w:pStyle w:val="FirstParagraph"/>
      </w:pPr>
      <w:r>
        <w:t xml:space="preserve">This paragraph contains</w:t>
      </w:r>
      <w:r>
        <w:t xml:space="preserve"> </w:t>
      </w:r>
      <w:r>
        <w:rPr>
          <w:b/>
          <w:bCs/>
        </w:rPr>
        <w:t xml:space="preserve">bold with</w:t>
      </w:r>
      <w:r>
        <w:rPr>
          <w:b/>
          <w:bCs/>
        </w:rPr>
        <w:t xml:space="preserve"> </w:t>
      </w:r>
      <w:r>
        <w:rPr>
          <w:b/>
          <w:bCs/>
          <w:i/>
          <w:iCs/>
        </w:rPr>
        <w:t xml:space="preserve">italic inside</w:t>
      </w:r>
      <w:r>
        <w:rPr>
          <w:b/>
          <w:bCs/>
        </w:rPr>
        <w:t xml:space="preserve"> </w:t>
      </w:r>
      <w:r>
        <w:rPr>
          <w:b/>
          <w:bCs/>
        </w:rPr>
        <w:t xml:space="preserve">and</w:t>
      </w:r>
      <w:r>
        <w:rPr>
          <w:b/>
          <w:bCs/>
        </w:rPr>
        <w:t xml:space="preserve"> </w:t>
      </w:r>
      <w:r>
        <w:rPr>
          <w:rStyle w:val="VerbatimChar"/>
          <w:b/>
          <w:bCs/>
        </w:rPr>
        <w:t xml:space="preserve">code</w:t>
      </w:r>
      <w:r>
        <w:t xml:space="preserve"> </w:t>
      </w:r>
      <w:r>
        <w:t xml:space="preserve">as well as</w:t>
      </w:r>
      <w:r>
        <w:t xml:space="preserve"> </w:t>
      </w:r>
      <w:r>
        <w:rPr>
          <w:i/>
          <w:iCs/>
        </w:rPr>
        <w:t xml:space="preserve">italic with</w:t>
      </w:r>
      <w:r>
        <w:rPr>
          <w:i/>
          <w:iCs/>
        </w:rPr>
        <w:t xml:space="preserve"> </w:t>
      </w:r>
      <w:r>
        <w:rPr>
          <w:b/>
          <w:bCs/>
          <w:i/>
          <w:iCs/>
        </w:rPr>
        <w:t xml:space="preserve">bold inside</w:t>
      </w:r>
      <w:r>
        <w:rPr>
          <w:i/>
          <w:iCs/>
        </w:rPr>
        <w:t xml:space="preserve"> </w:t>
      </w:r>
      <w:r>
        <w:rPr>
          <w:i/>
          <w:iCs/>
        </w:rPr>
        <w:t xml:space="preserve">and</w:t>
      </w:r>
      <w:r>
        <w:rPr>
          <w:i/>
          <w:iCs/>
        </w:rPr>
        <w:t xml:space="preserve"> </w:t>
      </w:r>
      <w:r>
        <w:rPr>
          <w:rStyle w:val="VerbatimChar"/>
          <w:i/>
          <w:iCs/>
        </w:rPr>
        <w:t xml:space="preserve">code</w:t>
      </w:r>
      <w:r>
        <w:t xml:space="preserve">.</w:t>
      </w:r>
    </w:p>
    <w:bookmarkEnd w:id="32"/>
    <w:bookmarkEnd w:id="33"/>
    <w:bookmarkStart w:id="36" w:name="complex-scenarios"/>
    <w:p>
      <w:pPr>
        <w:pStyle w:val="Heading2"/>
      </w:pPr>
      <w:r>
        <w:t xml:space="preserve">Complex Scenarios</w:t>
      </w:r>
    </w:p>
    <w:bookmarkStart w:id="34" w:name="mixed-content-block"/>
    <w:p>
      <w:pPr>
        <w:pStyle w:val="Heading3"/>
      </w:pPr>
      <w:r>
        <w:t xml:space="preserve">Mixed Content Block</w:t>
      </w:r>
    </w:p>
    <w:p>
      <w:pPr>
        <w:numPr>
          <w:ilvl w:val="0"/>
          <w:numId w:val="1006"/>
        </w:numPr>
      </w:pPr>
      <w:r>
        <w:rPr>
          <w:b/>
          <w:bCs/>
        </w:rPr>
        <w:t xml:space="preserve">Step One</w:t>
      </w:r>
      <w:r>
        <w:t xml:space="preserve">: Initialize the system</w:t>
      </w:r>
    </w:p>
    <w:p>
      <w:pPr>
        <w:pStyle w:val="SourceCode"/>
        <w:numPr>
          <w:ilvl w:val="0"/>
          <w:numId w:val="1000"/>
        </w:numPr>
      </w:pPr>
      <w:r>
        <w:rPr>
          <w:rStyle w:val="ExtensionTok"/>
        </w:rPr>
        <w:t xml:space="preserve">./initialize.sh</w:t>
      </w:r>
      <w:r>
        <w:rPr>
          <w:rStyle w:val="NormalTok"/>
        </w:rPr>
        <w:t xml:space="preserve"> </w:t>
      </w:r>
      <w:r>
        <w:rPr>
          <w:rStyle w:val="AttributeTok"/>
        </w:rPr>
        <w:t xml:space="preserve">--verbose</w:t>
      </w:r>
    </w:p>
    <w:p>
      <w:pPr>
        <w:numPr>
          <w:ilvl w:val="0"/>
          <w:numId w:val="1000"/>
        </w:numPr>
      </w:pPr>
      <w:r>
        <w:t xml:space="preserve">This command sets up the environment.</w:t>
      </w:r>
    </w:p>
    <w:p>
      <w:pPr>
        <w:numPr>
          <w:ilvl w:val="0"/>
          <w:numId w:val="1006"/>
        </w:numPr>
      </w:pPr>
      <w:r>
        <w:rPr>
          <w:b/>
          <w:bCs/>
        </w:rPr>
        <w:t xml:space="preserve">Step Two</w:t>
      </w:r>
      <w:r>
        <w:t xml:space="preserve">: Run tests</w:t>
      </w:r>
    </w:p>
    <w:p>
      <w:pPr>
        <w:pStyle w:val="Compact"/>
        <w:numPr>
          <w:ilvl w:val="1"/>
          <w:numId w:val="1007"/>
        </w:numPr>
      </w:pPr>
      <w:r>
        <w:t xml:space="preserve">Unit tests</w:t>
      </w:r>
    </w:p>
    <w:p>
      <w:pPr>
        <w:pStyle w:val="Compact"/>
        <w:numPr>
          <w:ilvl w:val="1"/>
          <w:numId w:val="1007"/>
        </w:numPr>
      </w:pPr>
      <w:r>
        <w:t xml:space="preserve">Integration tests</w:t>
      </w:r>
    </w:p>
    <w:p>
      <w:pPr>
        <w:pStyle w:val="Compact"/>
        <w:numPr>
          <w:ilvl w:val="1"/>
          <w:numId w:val="1007"/>
        </w:numPr>
      </w:pPr>
      <w:r>
        <w:t xml:space="preserve">E2E tests</w:t>
      </w:r>
    </w:p>
    <w:p>
      <w:pPr>
        <w:numPr>
          <w:ilvl w:val="0"/>
          <w:numId w:val="1006"/>
        </w:numPr>
      </w:pPr>
      <w:r>
        <w:rPr>
          <w:b/>
          <w:bCs/>
        </w:rPr>
        <w:t xml:space="preserve">Step Three</w:t>
      </w:r>
      <w:r>
        <w:t xml:space="preserve">: Review results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Test Type</w:t>
            </w:r>
          </w:p>
        </w:tc>
        <w:tc>
          <w:tcPr/>
          <w:p>
            <w:pPr>
              <w:pStyle w:val="Compact"/>
              <w:jc w:val="left"/>
            </w:pPr>
            <w:r>
              <w:t xml:space="preserve">Passed</w:t>
            </w:r>
          </w:p>
        </w:tc>
        <w:tc>
          <w:tcPr/>
          <w:p>
            <w:pPr>
              <w:pStyle w:val="Compact"/>
              <w:jc w:val="left"/>
            </w:pPr>
            <w:r>
              <w:t xml:space="preserve">Failed</w:t>
            </w:r>
          </w:p>
        </w:tc>
      </w:tr>
      <w:tr>
        <w:tc>
          <w:tcPr/>
          <w:p>
            <w:pPr>
              <w:pStyle w:val="Compact"/>
              <w:jc w:val="left"/>
            </w:pPr>
            <w:r>
              <w:t xml:space="preserve">Unit</w:t>
            </w:r>
          </w:p>
        </w:tc>
        <w:tc>
          <w:tcPr/>
          <w:p>
            <w:pPr>
              <w:pStyle w:val="Compact"/>
              <w:jc w:val="left"/>
            </w:pPr>
            <w:r>
              <w:t xml:space="preserve">45</w:t>
            </w:r>
          </w:p>
        </w:tc>
        <w:tc>
          <w:tcPr/>
          <w:p>
            <w:pPr>
              <w:pStyle w:val="Compact"/>
              <w:jc w:val="left"/>
            </w:pPr>
            <w:r>
              <w:t xml:space="preserve">2</w:t>
            </w:r>
          </w:p>
        </w:tc>
      </w:tr>
      <w:tr>
        <w:tc>
          <w:tcPr/>
          <w:p>
            <w:pPr>
              <w:pStyle w:val="Compact"/>
              <w:jc w:val="left"/>
            </w:pPr>
            <w:r>
              <w:t xml:space="preserve">Integration</w:t>
            </w:r>
          </w:p>
        </w:tc>
        <w:tc>
          <w:tcPr/>
          <w:p>
            <w:pPr>
              <w:pStyle w:val="Compact"/>
              <w:jc w:val="left"/>
            </w:pPr>
            <w:r>
              <w:t xml:space="preserve">23</w:t>
            </w:r>
          </w:p>
        </w:tc>
        <w:tc>
          <w:tcPr/>
          <w:p>
            <w:pPr>
              <w:pStyle w:val="Compact"/>
              <w:jc w:val="left"/>
            </w:pPr>
            <w:r>
              <w:t xml:space="preserve">1</w:t>
            </w:r>
          </w:p>
        </w:tc>
      </w:tr>
      <w:tr>
        <w:tc>
          <w:tcPr/>
          <w:p>
            <w:pPr>
              <w:pStyle w:val="Compact"/>
              <w:jc w:val="left"/>
            </w:pPr>
            <w:r>
              <w:t xml:space="preserve">E2E</w:t>
            </w:r>
          </w:p>
        </w:tc>
        <w:tc>
          <w:tcPr/>
          <w:p>
            <w:pPr>
              <w:pStyle w:val="Compact"/>
              <w:jc w:val="left"/>
            </w:pPr>
            <w:r>
              <w:t xml:space="preserve">12</w:t>
            </w:r>
          </w:p>
        </w:tc>
        <w:tc>
          <w:tcPr/>
          <w:p>
            <w:pPr>
              <w:pStyle w:val="Compact"/>
              <w:jc w:val="left"/>
            </w:pPr>
            <w:r>
              <w:t xml:space="preserve">0</w:t>
            </w:r>
          </w:p>
        </w:tc>
      </w:tr>
    </w:tbl>
    <w:bookmarkEnd w:id="34"/>
    <w:bookmarkStart w:id="35" w:name="definition-lists"/>
    <w:p>
      <w:pPr>
        <w:pStyle w:val="Heading3"/>
      </w:pPr>
      <w:r>
        <w:t xml:space="preserve">Definition Lists</w:t>
      </w:r>
    </w:p>
    <w:p>
      <w:pPr>
        <w:pStyle w:val="DefinitionTerm"/>
      </w:pPr>
      <w:r>
        <w:t xml:space="preserve">Term 1</w:t>
      </w:r>
    </w:p>
    <w:p>
      <w:pPr>
        <w:pStyle w:val="Definition"/>
      </w:pPr>
      <w:r>
        <w:t xml:space="preserve">Definition for term 1</w:t>
      </w:r>
    </w:p>
    <w:p>
      <w:pPr>
        <w:pStyle w:val="DefinitionTerm"/>
      </w:pPr>
      <w:r>
        <w:t xml:space="preserve">Term 2</w:t>
      </w:r>
    </w:p>
    <w:p>
      <w:pPr>
        <w:pStyle w:val="Definition"/>
      </w:pPr>
      <w:r>
        <w:t xml:space="preserve">Definition for term 2 with</w:t>
      </w:r>
      <w:r>
        <w:t xml:space="preserve"> </w:t>
      </w:r>
      <w:r>
        <w:rPr>
          <w:b/>
          <w:bCs/>
        </w:rPr>
        <w:t xml:space="preserve">bold</w:t>
      </w:r>
    </w:p>
    <w:p>
      <w:pPr>
        <w:pStyle w:val="Definition"/>
      </w:pPr>
      <w:r>
        <w:t xml:space="preserve">Alternative definition</w:t>
      </w:r>
    </w:p>
    <w:bookmarkEnd w:id="35"/>
    <w:bookmarkEnd w:id="36"/>
    <w:bookmarkStart w:id="41" w:name="edge-cases"/>
    <w:p>
      <w:pPr>
        <w:pStyle w:val="Heading2"/>
      </w:pPr>
      <w:r>
        <w:t xml:space="preserve">Edge Cases</w:t>
      </w:r>
    </w:p>
    <w:bookmarkStart w:id="37" w:name="empty-lines-and-spacing"/>
    <w:p>
      <w:pPr>
        <w:pStyle w:val="Heading3"/>
      </w:pPr>
      <w:r>
        <w:t xml:space="preserve">Empty Lines and Spacing</w:t>
      </w:r>
    </w:p>
    <w:p>
      <w:pPr>
        <w:pStyle w:val="FirstParagraph"/>
      </w:pPr>
      <w:r>
        <w:t xml:space="preserve">This paragraph has normal spacing.</w:t>
      </w:r>
    </w:p>
    <w:p>
      <w:pPr>
        <w:pStyle w:val="BodyText"/>
      </w:pPr>
      <w:r>
        <w:t xml:space="preserve">This paragraph has extra spacing above.</w:t>
      </w:r>
    </w:p>
    <w:bookmarkEnd w:id="37"/>
    <w:bookmarkStart w:id="38" w:name="long-lines"/>
    <w:p>
      <w:pPr>
        <w:pStyle w:val="Heading3"/>
      </w:pPr>
      <w:r>
        <w:t xml:space="preserve">Long Lines</w:t>
      </w:r>
    </w:p>
    <w:p>
      <w:pPr>
        <w:pStyle w:val="FirstParagraph"/>
      </w:pPr>
      <w:r>
        <w:t xml:space="preserve">This is a very long line that should wrap properly in all formats and maintain readability regardless of the output format whether it’s PDF, DOCX, or Markdown and should handle various screen sizes and page widths appropriately.</w:t>
      </w:r>
    </w:p>
    <w:bookmarkEnd w:id="38"/>
    <w:bookmarkStart w:id="39" w:name="inline-html-if-supported"/>
    <w:p>
      <w:pPr>
        <w:pStyle w:val="Heading3"/>
      </w:pPr>
      <w:r>
        <w:t xml:space="preserve">Inline HTML (if supported)</w:t>
      </w:r>
    </w:p>
    <w:p>
      <w:pPr>
        <w:pStyle w:val="FirstParagraph"/>
      </w:pPr>
      <w:r>
        <w:t xml:space="preserve">This is HTML content</w:t>
      </w:r>
    </w:p>
    <w:bookmarkEnd w:id="39"/>
    <w:bookmarkStart w:id="40" w:name="special-list-scenarios"/>
    <w:p>
      <w:pPr>
        <w:pStyle w:val="Heading3"/>
      </w:pPr>
      <w:r>
        <w:t xml:space="preserve">Special List Scenarios</w:t>
      </w:r>
    </w:p>
    <w:p>
      <w:pPr>
        <w:pStyle w:val="Compact"/>
        <w:numPr>
          <w:ilvl w:val="0"/>
          <w:numId w:val="1008"/>
        </w:numPr>
      </w:pPr>
      <w:r>
        <w:t xml:space="preserve">Item with continuation</w:t>
      </w:r>
      <w:r>
        <w:t xml:space="preserve"> </w:t>
      </w:r>
      <w:r>
        <w:t xml:space="preserve">on multiple lines</w:t>
      </w:r>
    </w:p>
    <w:p>
      <w:pPr>
        <w:pStyle w:val="Compact"/>
        <w:numPr>
          <w:ilvl w:val="0"/>
          <w:numId w:val="1008"/>
        </w:numPr>
      </w:pPr>
      <w:r>
        <w:t xml:space="preserve">Another item</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This document tests comprehensive conversion scenarios including:</w:t>
      </w:r>
    </w:p>
    <w:p>
      <w:pPr>
        <w:pStyle w:val="Compact"/>
        <w:numPr>
          <w:ilvl w:val="0"/>
          <w:numId w:val="1009"/>
        </w:numPr>
      </w:pPr>
      <w:r>
        <w:t xml:space="preserve">Text formatting (bold, italic, code, strikethrough)</w:t>
      </w:r>
    </w:p>
    <w:p>
      <w:pPr>
        <w:pStyle w:val="Compact"/>
        <w:numPr>
          <w:ilvl w:val="0"/>
          <w:numId w:val="1009"/>
        </w:numPr>
      </w:pPr>
      <w:r>
        <w:t xml:space="preserve">Lists (ordered, unordered, nested)</w:t>
      </w:r>
    </w:p>
    <w:p>
      <w:pPr>
        <w:pStyle w:val="Compact"/>
        <w:numPr>
          <w:ilvl w:val="0"/>
          <w:numId w:val="1009"/>
        </w:numPr>
      </w:pPr>
      <w:r>
        <w:t xml:space="preserve">Code blocks with syntax highlighting</w:t>
      </w:r>
    </w:p>
    <w:p>
      <w:pPr>
        <w:pStyle w:val="Compact"/>
        <w:numPr>
          <w:ilvl w:val="0"/>
          <w:numId w:val="1009"/>
        </w:numPr>
      </w:pPr>
      <w:r>
        <w:t xml:space="preserve">Tables with alignment</w:t>
      </w:r>
    </w:p>
    <w:p>
      <w:pPr>
        <w:pStyle w:val="Compact"/>
        <w:numPr>
          <w:ilvl w:val="0"/>
          <w:numId w:val="1009"/>
        </w:numPr>
      </w:pPr>
      <w:r>
        <w:t xml:space="preserve">Blockquotes (simple and nested)</w:t>
      </w:r>
    </w:p>
    <w:p>
      <w:pPr>
        <w:pStyle w:val="Compact"/>
        <w:numPr>
          <w:ilvl w:val="0"/>
          <w:numId w:val="1009"/>
        </w:numPr>
      </w:pPr>
      <w:r>
        <w:t xml:space="preserve">Links (inline and reference)</w:t>
      </w:r>
    </w:p>
    <w:p>
      <w:pPr>
        <w:pStyle w:val="Compact"/>
        <w:numPr>
          <w:ilvl w:val="0"/>
          <w:numId w:val="1009"/>
        </w:numPr>
      </w:pPr>
      <w:r>
        <w:t xml:space="preserve">Special characters and Unicode</w:t>
      </w:r>
    </w:p>
    <w:p>
      <w:pPr>
        <w:pStyle w:val="Compact"/>
        <w:numPr>
          <w:ilvl w:val="0"/>
          <w:numId w:val="1009"/>
        </w:numPr>
      </w:pPr>
      <w:r>
        <w:t xml:space="preserve">Horizontal rules</w:t>
      </w:r>
    </w:p>
    <w:p>
      <w:pPr>
        <w:pStyle w:val="Compact"/>
        <w:numPr>
          <w:ilvl w:val="0"/>
          <w:numId w:val="1009"/>
        </w:numPr>
      </w:pPr>
      <w:r>
        <w:t xml:space="preserve">Mixed content blocks</w:t>
      </w:r>
    </w:p>
    <w:p>
      <w:pPr>
        <w:pStyle w:val="Compact"/>
        <w:numPr>
          <w:ilvl w:val="0"/>
          <w:numId w:val="1009"/>
        </w:numPr>
      </w:pPr>
      <w:r>
        <w:t xml:space="preserve">Edge cases and spacing</w:t>
      </w:r>
    </w:p>
    <w:p>
      <w:pPr>
        <w:pStyle w:val="FirstParagraph"/>
      </w:pPr>
      <w:r>
        <w:rPr>
          <w:b/>
          <w:bCs/>
        </w:rPr>
        <w:t xml:space="preserve">End of Test Document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claude/docs/README.md" TargetMode="External" /><Relationship Type="http://schemas.openxmlformats.org/officeDocument/2006/relationships/hyperlink" Id="rId29" Target="https://www.google.com" TargetMode="External" /></Relationships>
</file>

<file path=word/_rels/footnotes.xml.rels><?xml version="1.0" encoding="UTF-8"?><Relationships xmlns="http://schemas.openxmlformats.org/package/2006/relationships"><Relationship Type="http://schemas.openxmlformats.org/officeDocument/2006/relationships/hyperlink" Id="rId28" Target=".claude/docs/README.md" TargetMode="External" /><Relationship Type="http://schemas.openxmlformats.org/officeDocument/2006/relationships/hyperlink" Id="rId29" Target="https://www.goog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2025-11-21T16:28:13Z</dcterms:created>
  <dcterms:modified xsi:type="dcterms:W3CDTF">2025-11-21T16:28:13Z</dcterms:modified>
</cp:coreProperties>
</file>

<file path=docProps/custom.xml><?xml version="1.0" encoding="utf-8"?>
<Properties xmlns="http://schemas.openxmlformats.org/officeDocument/2006/custom-properties" xmlns:vt="http://schemas.openxmlformats.org/officeDocument/2006/docPropsVTypes"/>
</file>