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MUTUAL NONDISCLOSURE AGREEMENT</w:t>
      </w:r>
    </w:p>
    <w:p/>
    <w:p>
      <w:r>
        <w:t>This Nondisclosure Agreement (this “Agreement”) is entered into by and between Northwind Traders, Inc., a Delaware corporation (“Discloser”), and Contoso Ltd, a company incorporated in England and Wales (“Recipient”).</w:t>
      </w:r>
    </w:p>
    <w:p/>
    <w:p>
      <w:r>
        <w:rPr>
          <w:b/>
        </w:rPr>
        <w:t xml:space="preserve">1. Confidential Information. </w:t>
      </w:r>
      <w:r>
        <w:t>“Confidential Information” means all information disclosed by Discloser to Recipient, whether orally, in writing or in any other form, and whether or not marked as confidential.</w:t>
      </w:r>
    </w:p>
    <w:p>
      <w:r>
        <w:rPr>
          <w:b/>
        </w:rPr>
        <w:t xml:space="preserve">2. Obligations. </w:t>
      </w:r>
      <w:r>
        <w:t>Recipient shall hold the Confidential Information in strict confidence and shall not disclose it to any third party. Recipient shall use the Confidential Information solely to evaluate a potential business relationship between the parties.</w:t>
      </w:r>
    </w:p>
    <w:p>
      <w:r>
        <w:rPr>
          <w:b/>
        </w:rPr>
        <w:t xml:space="preserve">3. Term. </w:t>
      </w:r>
      <w:r>
        <w:t>This Agreement shall remain in effect for five (5) years from the date of last signature. Recipient’s obligations with respect to Confidential Information shall survive indefinitely.</w:t>
      </w:r>
    </w:p>
    <w:p>
      <w:r>
        <w:rPr>
          <w:b/>
        </w:rPr>
        <w:t xml:space="preserve">4. Injunctive Relief. </w:t>
      </w:r>
      <w:r>
        <w:t>Recipient acknowledges that any breach of this Agreement will cause irreparable harm to Discloser, and that Discloser shall be entitled to injunctive relief without the posting of any bond and without proof of actual damages.</w:t>
      </w:r>
    </w:p>
    <w:p>
      <w:r>
        <w:rPr>
          <w:b/>
        </w:rPr>
        <w:t xml:space="preserve">5. Governing Law. </w:t>
      </w:r>
      <w:r>
        <w:t>This Agreement shall be governed by the laws of the State of New York, without regard to its conflict of laws principles.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