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p>
      <w:r>
        <w:t>This Mutual Nondisclosure Agreement (this “Agreement”) is entered into as of March 4, 2026 by and between Northwind Traders, Inc., a Delaware corporation, and Contoso Ltd, a company incorporated in England and Wales (each a “Party” and together the “Parties”).</w:t>
      </w:r>
    </w:p>
    <w:p/>
    <w:p>
      <w:r>
        <w:rPr>
          <w:b/>
        </w:rPr>
        <w:t xml:space="preserve">1. Confidential Information. </w:t>
      </w:r>
      <w:r>
        <w:t>“Confidential Information” means information disclosed by a Party to the other Party that is marked as confidential at the time of disclosure or, if disclosed orally, is identified as confidential at the time of disclosure and summarised in writing within thirty (30) days. Confidential Information does not include information that (a) is or becomes publicly available through no breach of this Agreement by the receiving Party, (b) was rightfully known to the receiving Party without restriction before disclosure, (c) is rightfully obtained from a third party without restriction, or (d) is independently developed without use of or reference to the disclosing Party’s Confidential Information.</w:t>
      </w:r>
    </w:p>
    <w:p>
      <w:r>
        <w:rPr>
          <w:b/>
        </w:rPr>
        <w:t xml:space="preserve">2. Obligations. </w:t>
      </w:r>
      <w:r>
        <w:t>Each Party shall hold the other Party’s Confidential Information in confidence, using no less than the degree of care it applies to its own confidential information of like importance and in no event less than a reasonable degree of care. Each Party may disclose Confidential Information to its employees, officers and professional advisers who have a need to know it for the Purpose and who are bound by obligations of confidentiality no less protective than those set out here.</w:t>
      </w:r>
    </w:p>
    <w:p>
      <w:r>
        <w:rPr>
          <w:b/>
        </w:rPr>
        <w:t xml:space="preserve">3. Term. </w:t>
      </w:r>
      <w:r>
        <w:t>This Agreement shall remain in effect for four (4) years from the Effective Date. Each Party’s obligations with respect to Confidential Information shall continue for four (4) years following disclosure.</w:t>
      </w:r>
    </w:p>
    <w:p>
      <w:r>
        <w:rPr>
          <w:b/>
        </w:rPr>
        <w:t xml:space="preserve">4. Compelled Disclosure. </w:t>
      </w:r>
      <w:r>
        <w:t>A Party may disclose Confidential Information to the extent required by law, regulation or court order, provided that it gives the disclosing Party prompt written notice where lawfully permitted to do so and reasonable assistance in seeking protective treatment.</w:t>
      </w:r>
    </w:p>
    <w:p>
      <w:r>
        <w:rPr>
          <w:b/>
        </w:rPr>
        <w:t xml:space="preserve">5. Injunctive Relief. </w:t>
      </w:r>
      <w:r>
        <w:t>Each Party acknowledges that a breach of this Agreement may cause irreparable harm for which monetary damages would be an inadequate remedy, and that the non-breaching Party may seek injunctive relief in accordance with the rules of the court in which relief is sought.</w:t>
      </w:r>
    </w:p>
    <w:p>
      <w:r>
        <w:rPr>
          <w:b/>
        </w:rPr>
        <w:t xml:space="preserve">6. Notices. </w:t>
      </w:r>
      <w:r>
        <w:t>Notices under this Agreement shall be sent to Northwind Traders, Inc., 100 Harbour Street, Wilmington, Delaware 19801, Attention: General Counsel, and to Contoso Ltd, 14 Alder Lane, London EC2A 4NE, Attention: Company Secretary.</w:t>
      </w:r>
    </w:p>
    <w:p>
      <w:r>
        <w:rPr>
          <w:b/>
        </w:rPr>
        <w:t xml:space="preserve">7. Governing Law. </w:t>
      </w:r>
      <w:r>
        <w:t>This Agreement shall be governed by the laws of the State of New York, without regard to its conflict of laws principles.</w:t>
      </w:r>
    </w:p>
    <w:p/>
    <w:p>
      <w:r>
        <w:t>IN WITNESS WHEREOF, the Parties have executed this Agreement as of the date first written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