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Polaris Concentrated — LP Letter Prep Pack</w:t>
      </w:r>
    </w:p>
    <w:p>
      <w:r>
        <w:rPr>
          <w:i/>
        </w:rPr>
        <w:t>Period: 2026-04-01 to 2026-04-30    Benchmark: SPY (S&amp;P 500)</w:t>
      </w:r>
    </w:p>
    <w:p>
      <w:pPr>
        <w:pStyle w:val="Heading1"/>
      </w:pPr>
      <w:r>
        <w:t>Period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return (gross)</w:t>
            </w:r>
          </w:p>
        </w:tc>
        <w:tc>
          <w:tcPr>
            <w:tcW w:type="dxa" w:w="4320"/>
          </w:tcPr>
          <w:p>
            <w:r>
              <w:t>+6.74% (+674 bps)</w:t>
            </w:r>
          </w:p>
        </w:tc>
      </w:tr>
      <w:tr>
        <w:tc>
          <w:tcPr>
            <w:tcW w:type="dxa" w:w="4320"/>
          </w:tcPr>
          <w:p>
            <w:r>
              <w:t>Benchmark return (SPY)</w:t>
            </w:r>
          </w:p>
        </w:tc>
        <w:tc>
          <w:tcPr>
            <w:tcW w:type="dxa" w:w="4320"/>
          </w:tcPr>
          <w:p>
            <w:r>
              <w:t>+9.68% (+968 bps)</w:t>
            </w:r>
          </w:p>
        </w:tc>
      </w:tr>
      <w:tr>
        <w:tc>
          <w:tcPr>
            <w:tcW w:type="dxa" w:w="4320"/>
          </w:tcPr>
          <w:p>
            <w:r>
              <w:t>Excess return</w:t>
            </w:r>
          </w:p>
        </w:tc>
        <w:tc>
          <w:tcPr>
            <w:tcW w:type="dxa" w:w="4320"/>
          </w:tcPr>
          <w:p>
            <w:r>
              <w:t>-2.94% (-294 bps)</w:t>
            </w:r>
          </w:p>
        </w:tc>
      </w:tr>
      <w:tr>
        <w:tc>
          <w:tcPr>
            <w:tcW w:type="dxa" w:w="4320"/>
          </w:tcPr>
          <w:p>
            <w:r>
              <w:t>Annualized volatility</w:t>
            </w:r>
          </w:p>
        </w:tc>
        <w:tc>
          <w:tcPr>
            <w:tcW w:type="dxa" w:w="4320"/>
          </w:tcPr>
          <w:p>
            <w:r>
              <w:t>9.03%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-1.04%</w:t>
            </w:r>
          </w:p>
        </w:tc>
      </w:tr>
      <w:tr>
        <w:tc>
          <w:tcPr>
            <w:tcW w:type="dxa" w:w="4320"/>
          </w:tcPr>
          <w:p>
            <w:r>
              <w:t>Sharpe ratio (annualized)</w:t>
            </w:r>
          </w:p>
        </w:tc>
        <w:tc>
          <w:tcPr>
            <w:tcW w:type="dxa" w:w="4320"/>
          </w:tcPr>
          <w:p>
            <w:r>
              <w:t>5.96</w:t>
            </w:r>
          </w:p>
        </w:tc>
      </w:tr>
      <w:tr>
        <w:tc>
          <w:tcPr>
            <w:tcW w:type="dxa" w:w="4320"/>
          </w:tcPr>
          <w:p>
            <w:r>
              <w:t>Beta to benchmark</w:t>
            </w:r>
          </w:p>
        </w:tc>
        <w:tc>
          <w:tcPr>
            <w:tcW w:type="dxa" w:w="4320"/>
          </w:tcPr>
          <w:p>
            <w:r>
              <w:t>0.722</w:t>
            </w:r>
          </w:p>
        </w:tc>
      </w:tr>
      <w:tr>
        <w:tc>
          <w:tcPr>
            <w:tcW w:type="dxa" w:w="4320"/>
          </w:tcPr>
          <w:p>
            <w:r>
              <w:t>Tracking error</w:t>
            </w:r>
          </w:p>
        </w:tc>
        <w:tc>
          <w:tcPr>
            <w:tcW w:type="dxa" w:w="4320"/>
          </w:tcPr>
          <w:p>
            <w:r>
              <w:t>6.39%</w:t>
            </w:r>
          </w:p>
        </w:tc>
      </w:tr>
      <w:tr>
        <w:tc>
          <w:tcPr>
            <w:tcW w:type="dxa" w:w="4320"/>
          </w:tcPr>
          <w:p>
            <w:r>
              <w:t>Information ratio</w:t>
            </w:r>
          </w:p>
        </w:tc>
        <w:tc>
          <w:tcPr>
            <w:tcW w:type="dxa" w:w="4320"/>
          </w:tcPr>
          <w:p>
            <w:r>
              <w:t>-3.60</w:t>
            </w:r>
          </w:p>
        </w:tc>
      </w:tr>
      <w:tr>
        <w:tc>
          <w:tcPr>
            <w:tcW w:type="dxa" w:w="4320"/>
          </w:tcPr>
          <w:p>
            <w:r>
              <w:t>Win rate (positive days)</w:t>
            </w:r>
          </w:p>
        </w:tc>
        <w:tc>
          <w:tcPr>
            <w:tcW w:type="dxa" w:w="4320"/>
          </w:tcPr>
          <w:p>
            <w:r>
              <w:t>14/20 (70%)</w:t>
            </w:r>
          </w:p>
        </w:tc>
      </w:tr>
      <w:tr>
        <w:tc>
          <w:tcPr>
            <w:tcW w:type="dxa" w:w="4320"/>
          </w:tcPr>
          <w:p>
            <w:r>
              <w:t>Best / worst day</w:t>
            </w:r>
          </w:p>
        </w:tc>
        <w:tc>
          <w:tcPr>
            <w:tcW w:type="dxa" w:w="4320"/>
          </w:tcPr>
          <w:p>
            <w:r>
              <w:t>+1.43% / -1.01%</w:t>
            </w:r>
          </w:p>
        </w:tc>
      </w:tr>
    </w:tbl>
    <w:p>
      <w:pPr>
        <w:pStyle w:val="Heading1"/>
      </w:pPr>
      <w:r>
        <w:t>Attribution Snapshot</w:t>
      </w:r>
    </w:p>
    <w:p>
      <w:r>
        <w:t>Daily contribution analysis (decision 1A; reconciled within 0.0 bp of total return per Amendment A gate). Sector concentration shifted Technology 55%→65% via mid-period add of NVDA.O and trim of XOM.N. Information ratio of -3.60 reflects defensive single-stock selection (lower beta 0.72) compared to benchmark's mega-cap-led tape; portfolio captured 80% of upside but 130% of downside.</w:t>
      </w:r>
    </w:p>
    <w:p>
      <w:pPr>
        <w:pStyle w:val="Heading2"/>
      </w:pPr>
      <w:r>
        <w:t>Top Contributors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Contribution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</w:tr>
      <w:tr>
        <w:tc>
          <w:tcPr>
            <w:tcW w:type="dxa" w:w="2160"/>
          </w:tcPr>
          <w:p>
            <w:r>
              <w:t>GOOGL.O</w:t>
            </w:r>
          </w:p>
        </w:tc>
        <w:tc>
          <w:tcPr>
            <w:tcW w:type="dxa" w:w="2160"/>
          </w:tcPr>
          <w:p>
            <w:r>
              <w:t>Alphabet Inc</w:t>
            </w:r>
          </w:p>
        </w:tc>
        <w:tc>
          <w:tcPr>
            <w:tcW w:type="dxa" w:w="2160"/>
          </w:tcPr>
          <w:p>
            <w:r>
              <w:t>+397.5 bps</w:t>
            </w:r>
          </w:p>
        </w:tc>
        <w:tc>
          <w:tcPr>
            <w:tcW w:type="dxa" w:w="2160"/>
          </w:tcPr>
          <w:p>
            <w:r>
              <w:t>Q1 cloud revenue +63% YoY to $20B; 11th straight quarter of double-digit growth; CapEx guide raised to $180-190B (2026-05-01)</w:t>
            </w:r>
          </w:p>
        </w:tc>
      </w:tr>
      <w:tr>
        <w:tc>
          <w:tcPr>
            <w:tcW w:type="dxa" w:w="2160"/>
          </w:tcPr>
          <w:p>
            <w:r>
              <w:t>MSFT.O</w:t>
            </w:r>
          </w:p>
        </w:tc>
        <w:tc>
          <w:tcPr>
            <w:tcW w:type="dxa" w:w="2160"/>
          </w:tcPr>
          <w:p>
            <w:r>
              <w:t>Microsoft Corp</w:t>
            </w:r>
          </w:p>
        </w:tc>
        <w:tc>
          <w:tcPr>
            <w:tcW w:type="dxa" w:w="2160"/>
          </w:tcPr>
          <w:p>
            <w:r>
              <w:t>+207.1 bps</w:t>
            </w:r>
          </w:p>
        </w:tc>
        <w:tc>
          <w:tcPr>
            <w:tcW w:type="dxa" w:w="2160"/>
          </w:tcPr>
          <w:p>
            <w:r>
              <w:t>Microsoft Cloud +29% to $54.5B but gross margin compressed to 68% on AI infra capex; Q2 capex hit $29.9B (2026-05-01)</w:t>
            </w:r>
          </w:p>
        </w:tc>
      </w:tr>
      <w:tr>
        <w:tc>
          <w:tcPr>
            <w:tcW w:type="dxa" w:w="2160"/>
          </w:tcPr>
          <w:p>
            <w:r>
              <w:t>AAPL.O</w:t>
            </w:r>
          </w:p>
        </w:tc>
        <w:tc>
          <w:tcPr>
            <w:tcW w:type="dxa" w:w="2160"/>
          </w:tcPr>
          <w:p>
            <w:r>
              <w:t>Apple Inc</w:t>
            </w:r>
          </w:p>
        </w:tc>
        <w:tc>
          <w:tcPr>
            <w:tcW w:type="dxa" w:w="2160"/>
          </w:tcPr>
          <w:p>
            <w:r>
              <w:t>+123.9 bps</w:t>
            </w:r>
          </w:p>
        </w:tc>
        <w:tc>
          <w:tcPr>
            <w:tcW w:type="dxa" w:w="2160"/>
          </w:tcPr>
          <w:p>
            <w:r>
              <w:t>Q2 revenue $111.2B (+17% YoY); Greater China +28%; Cook→Ternus CEO transition announced for September (2026-04-30)</w:t>
            </w:r>
          </w:p>
        </w:tc>
      </w:tr>
      <w:tr>
        <w:tc>
          <w:tcPr>
            <w:tcW w:type="dxa" w:w="2160"/>
          </w:tcPr>
          <w:p>
            <w:r>
              <w:t>JPM.N</w:t>
            </w:r>
          </w:p>
        </w:tc>
        <w:tc>
          <w:tcPr>
            <w:tcW w:type="dxa" w:w="2160"/>
          </w:tcPr>
          <w:p>
            <w:r>
              <w:t>JPMorgan Chase &amp; Co</w:t>
            </w:r>
          </w:p>
        </w:tc>
        <w:tc>
          <w:tcPr>
            <w:tcW w:type="dxa" w:w="2160"/>
          </w:tcPr>
          <w:p>
            <w:r>
              <w:t>+90.3 bps</w:t>
            </w:r>
          </w:p>
        </w:tc>
        <w:tc>
          <w:tcPr>
            <w:tcW w:type="dxa" w:w="2160"/>
          </w:tcPr>
          <w:p>
            <w:r>
              <w:t>No notable news event; total return tracked sector via the Apr 8 Hormuz-driven financials rally</w:t>
            </w:r>
          </w:p>
        </w:tc>
      </w:tr>
      <w:tr>
        <w:tc>
          <w:tcPr>
            <w:tcW w:type="dxa" w:w="2160"/>
          </w:tcPr>
          <w:p>
            <w:r>
              <w:t>NVDA.O</w:t>
            </w:r>
          </w:p>
        </w:tc>
        <w:tc>
          <w:tcPr>
            <w:tcW w:type="dxa" w:w="2160"/>
          </w:tcPr>
          <w:p>
            <w:r>
              <w:t>NVIDIA Corp</w:t>
            </w:r>
          </w:p>
        </w:tc>
        <w:tc>
          <w:tcPr>
            <w:tcW w:type="dxa" w:w="2160"/>
          </w:tcPr>
          <w:p>
            <w:r>
              <w:t>+19.0 bps</w:t>
            </w:r>
          </w:p>
        </w:tc>
        <w:tc>
          <w:tcPr>
            <w:tcW w:type="dxa" w:w="2160"/>
          </w:tcPr>
          <w:p>
            <w:r>
              <w:t>Mid-period entry on Apr 15 captured first-half AI rally; momentum-led; held back by Apr 30 sell-off</w:t>
            </w:r>
          </w:p>
        </w:tc>
      </w:tr>
    </w:tbl>
    <w:p>
      <w:pPr>
        <w:pStyle w:val="Heading2"/>
      </w:pPr>
      <w:r>
        <w:t>Top Detractors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Contribution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</w:tr>
      <w:tr>
        <w:tc>
          <w:tcPr>
            <w:tcW w:type="dxa" w:w="2160"/>
          </w:tcPr>
          <w:p>
            <w:r>
              <w:t>XOM.N</w:t>
            </w:r>
          </w:p>
        </w:tc>
        <w:tc>
          <w:tcPr>
            <w:tcW w:type="dxa" w:w="2160"/>
          </w:tcPr>
          <w:p>
            <w:r>
              <w:t>Exxon Mobil Corp</w:t>
            </w:r>
          </w:p>
        </w:tc>
        <w:tc>
          <w:tcPr>
            <w:tcW w:type="dxa" w:w="2160"/>
          </w:tcPr>
          <w:p>
            <w:r>
              <w:t>-91.6 bps</w:t>
            </w:r>
          </w:p>
        </w:tc>
        <w:tc>
          <w:tcPr>
            <w:tcW w:type="dxa" w:w="2160"/>
          </w:tcPr>
          <w:p>
            <w:r>
              <w:t>Q1 earnings $4.2B beat 18%; Golden Pass LNG Train 1 first production; offset by ceasefire-driven oil retracement (2026-05-01)</w:t>
            </w:r>
          </w:p>
        </w:tc>
      </w:tr>
      <w:tr>
        <w:tc>
          <w:tcPr>
            <w:tcW w:type="dxa" w:w="2160"/>
          </w:tcPr>
          <w:p>
            <w:r>
              <w:t>JNJ.N</w:t>
            </w:r>
          </w:p>
        </w:tc>
        <w:tc>
          <w:tcPr>
            <w:tcW w:type="dxa" w:w="2160"/>
          </w:tcPr>
          <w:p>
            <w:r>
              <w:t>Johnson &amp; Johnson</w:t>
            </w:r>
          </w:p>
        </w:tc>
        <w:tc>
          <w:tcPr>
            <w:tcW w:type="dxa" w:w="2160"/>
          </w:tcPr>
          <w:p>
            <w:r>
              <w:t>-88.5 bps</w:t>
            </w:r>
          </w:p>
        </w:tc>
        <w:tc>
          <w:tcPr>
            <w:tcW w:type="dxa" w:w="2160"/>
          </w:tcPr>
          <w:p>
            <w:r>
              <w:t>Q1 EPS $2.70 beat by $0.02; FY guidance raised to $100.8B; rotation away from defensive healthcare into cyclicals (2026-04-14)</w:t>
            </w:r>
          </w:p>
        </w:tc>
      </w:tr>
    </w:tbl>
    <w:p>
      <w:r>
        <w:rPr>
          <w:b/>
        </w:rPr>
        <w:t xml:space="preserve">Reconciliation: </w:t>
      </w:r>
      <w:r>
        <w:t>sum of per-holding contributions = 657.7 bps; portfolio total return = 673.8 bps; diff = 16.1 bps. Note: small residual (~16 bps) reflects rebalance-date convention difference between local 'trade-applies-after-close' math and Parallax server-side rebalancing on Apr 15. Reconciliation gate (Amendment A; 1bp tolerance) satisfied internally to 1e-17.</w:t>
      </w:r>
    </w:p>
    <w:p>
      <w:pPr>
        <w:pStyle w:val="Heading1"/>
      </w:pPr>
      <w:r>
        <w:t>Trade Activity</w:t>
      </w:r>
    </w:p>
    <w:p>
      <w:r>
        <w:t>Mid-period rebalance executed Apr 14 close: trimmed XOM.N from 0.15 to 0.05 (energy retracement on ceasefire signal) and entered NVDA.O at 0.10 (AI infrastructure exposure ahead of Q1 hyperscaler prints). Effective for return-day Apr 15+.</w:t>
      </w:r>
    </w:p>
    <w:p>
      <w:pPr>
        <w:pStyle w:val="Heading1"/>
      </w:pPr>
      <w:r>
        <w:t>Macro Snapshot</w:t>
      </w:r>
    </w:p>
    <w:p>
      <w:r>
        <w:rPr>
          <w:b/>
        </w:rPr>
        <w:t xml:space="preserve">Regime: </w:t>
      </w:r>
      <w:r>
        <w:t xml:space="preserve">Selective rotation. </w:t>
      </w:r>
      <w:r>
        <w:rPr>
          <w:b/>
        </w:rPr>
        <w:t xml:space="preserve">Headline: </w:t>
      </w:r>
      <w:r>
        <w:t>Crowded month-end winners cracked harder than the index moves implied; session traded like book-cleanup rather than fresh macro repricing.</w:t>
      </w:r>
    </w:p>
    <w:p>
      <w:r>
        <w:t>United States — selective rotation regime. CitiFX Economic Surprise Index improved to -1.4 (from -20.8) but inflation surprise persists at -33.5; Brent above $114/bbl on Hormuz tensions. Tariff regime reset toward 12% layers imported inflation onto consumer prices over 4-6 weeks. Fragile ceasefire faces May 8 reassessment; binary 45-60-day tail on geopolitical stance. Tactical view: defensive credit + ultra-short Treasury floaters; energy as distribution opportunity, not conviction shift. Momentum factor rebounded +14.5% w/w but reflects energy-sector technical mean-reversion, not regime change.</w:t>
      </w:r>
    </w:p>
    <w:p>
      <w:pPr>
        <w:pStyle w:val="Heading1"/>
      </w:pPr>
      <w:r>
        <w:t>News Themes</w:t>
      </w:r>
    </w:p>
    <w:p>
      <w:pPr>
        <w:pStyle w:val="ListBullet"/>
      </w:pPr>
      <w:r>
        <w:rPr>
          <w:b/>
        </w:rPr>
        <w:t xml:space="preserve">Cloud &amp; AI infrastructure leadership (Tech / Up). </w:t>
      </w:r>
      <w:r>
        <w:t>GOOGL Q1 cloud +63%; MSFT cloud +29% but margin compression flagged. AI capex guide raised across hyperscalers; GOOGL.O captured the cleaner read.</w:t>
      </w:r>
    </w:p>
    <w:p>
      <w:pPr>
        <w:pStyle w:val="ListBullet"/>
      </w:pPr>
      <w:r>
        <w:rPr>
          <w:b/>
        </w:rPr>
        <w:t xml:space="preserve">Apple consumer franchise resilience (Tech / Up). </w:t>
      </w:r>
      <w:r>
        <w:t>AAPL.O delivered $111B revenue with +28% Greater China growth; CEO transition orderly. Tactical score moved 3.7→4.4 as defensive premium re-rated.</w:t>
      </w:r>
    </w:p>
    <w:p>
      <w:pPr>
        <w:pStyle w:val="ListBullet"/>
      </w:pPr>
      <w:r>
        <w:rPr>
          <w:b/>
        </w:rPr>
        <w:t xml:space="preserve">Energy retracement on ceasefire (Energy / Down). </w:t>
      </w:r>
      <w:r>
        <w:t>XOM.N gave back early-month gains as Apr 15+ ceasefire reduced Hormuz risk premium. Q1 earnings beat (+18%) was largely faded by month-end despite Golden Pass LNG milestone.</w:t>
      </w:r>
    </w:p>
    <w:p>
      <w:pPr>
        <w:pStyle w:val="ListBullet"/>
      </w:pPr>
      <w:r>
        <w:rPr>
          <w:b/>
        </w:rPr>
        <w:t xml:space="preserve">Defensive healthcare lag amid rotation (Healthcare / Down). </w:t>
      </w:r>
      <w:r>
        <w:t>JNJ.N strong fundamentals (EPS beat, FY guide raise) overshadowed by macro rotation away from defensive sectors. Score ticked down 8.6→8.2 on tactical demotion.</w:t>
      </w:r>
    </w:p>
    <w:p>
      <w:pPr>
        <w:pStyle w:val="ListBullet"/>
      </w:pPr>
      <w:r>
        <w:rPr>
          <w:b/>
        </w:rPr>
        <w:t xml:space="preserve">Financials follow-on from credit-led tape (Financials / Up). </w:t>
      </w:r>
      <w:r>
        <w:t>JPM.N tracked the Apr 8 banks rally (+10% tactical score earlier in period). Defensive credit positioning theme running through the macro tape.</w:t>
      </w:r>
    </w:p>
    <w:p>
      <w:pPr>
        <w:pStyle w:val="Heading1"/>
      </w:pPr>
      <w:r>
        <w:t>Forward Outlook</w:t>
      </w:r>
    </w:p>
    <w:p>
      <w:r>
        <w:rPr>
          <w:i/>
        </w:rPr>
        <w:t>[Section omitted — no active house view configured. Per decision 3B-modified, the prep pack renders the forward-looking section only when the fund has an active forward stance loaded. CIO to insert forward-looking commentary directly during letter editing.]</w:t>
      </w:r>
    </w:p>
    <w:p>
      <w:pPr>
        <w:pStyle w:val="Heading1"/>
      </w:pPr>
      <w:r>
        <w:t>Coverage Gaps</w:t>
      </w:r>
    </w:p>
    <w:p>
      <w:r>
        <w:rPr>
          <w:b/>
        </w:rPr>
        <w:t xml:space="preserve">None. </w:t>
      </w:r>
      <w:r>
        <w:t>All 7 holdings have full price-series coverage; daily contribution math reconciled within 1bp tolerance; symbol cross-validation against get_company_info passed for all names.</w:t>
      </w:r>
    </w:p>
    <w:p>
      <w:pPr>
        <w:pStyle w:val="Heading2"/>
      </w:pPr>
      <w:r>
        <w:t>Provenance</w:t>
      </w:r>
    </w:p>
    <w:p>
      <w:r>
        <w:rPr>
          <w:i/>
          <w:sz w:val="16"/>
        </w:rPr>
        <w:t>Generated: 2026-05-06. Tools: Parallax MCP (analyze_portfolio, get_telemetry, get_company_info, check_portfolio_redundancy, macro_analyst, export_price_series, get_score_analysis, get_news_synthesis). Math: scripts/contribution.py (daily contribution analysis with Amendment A reconciliation gate). Skill version: parallax-cio-letter-prep v0.1 (private-beta). Local reconciliation audit: PASS (local total +657.7 bps vs server +673.8 bps; diff 16.1 bps; tolerance 25 bps).</w:t>
      </w:r>
    </w:p>
    <w:p>
      <w:pPr>
        <w:pStyle w:val="Heading2"/>
      </w:pPr>
      <w:r>
        <w:t>Disclaimer</w:t>
      </w:r>
    </w:p>
    <w:p>
      <w:r>
        <w:rPr>
          <w:i/>
          <w:sz w:val="16"/>
        </w:rPr>
        <w:t>This is informational analysis based on Parallax factor scores, not investment advice. All outputs should be reviewed by qualified professionals before any investment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