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Administrator settings → A</w:t>
      </w:r>
      <w:r>
        <w:rPr>
          <w:rFonts w:ascii="Arial" w:cs="Arial" w:eastAsia="Arial" w:hAnsi="Arial"/>
          <w:color w:val="1C2B3A"/>
          <w:sz w:val="20"/>
          <w:szCs w:val="20"/>
        </w:rPr>
        <w:t xml:space="preserve"> — paste the five URLs into the boxes.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B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Administrator settings → B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w:t>
      </w:r>
      <w:r>
        <w:rPr>
          <w:rFonts w:ascii="Arial" w:cs="Arial" w:eastAsia="Arial" w:hAnsi="Arial"/>
          <w:color w:val="1C2B3A"/>
          <w:sz w:val="20"/>
          <w:szCs w:val="20"/>
        </w:rPr>
        <w:t xml:space="preserve"> shows them in full and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leaving the screen hides them anyway, so they are never left on display. There is no second password here — this screen is already behind one, and asking again for something you have just proved is friction pretending to be security. The toggle is for shoulders and shared screens.</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2026-10-19T00:48:14.921Z</dcterms:created>
  <dcterms:modified xsi:type="dcterms:W3CDTF">2026-10-19T00:48:14.921Z</dcterms:modified>
</cp:coreProperties>
</file>

<file path=docProps/custom.xml><?xml version="1.0" encoding="utf-8"?>
<Properties xmlns="http://schemas.openxmlformats.org/officeDocument/2006/custom-properties" xmlns:vt="http://schemas.openxmlformats.org/officeDocument/2006/docPropsVTypes"/>
</file>