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40" w:before="0"/>
      </w:pPr>
      <w:r>
        <w:rPr>
          <w:rFonts w:ascii="Arial" w:cs="Arial" w:eastAsia="Arial" w:hAnsi="Arial"/>
          <w:b/>
          <w:bCs/>
          <w:color w:val="1C2B3A"/>
          <w:sz w:val="40"/>
          <w:szCs w:val="40"/>
        </w:rPr>
        <w:t xml:space="preserve">Sending each state to its own project register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What this builds: a person opens the site, picks their office, and the project dropdown fills with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that state's projects only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— read live from that state's own SharePoint list.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This is flow 1 (</w:t>
      </w:r>
      <w:r>
        <w:rPr>
          <w:rFonts w:ascii="Arial" w:cs="Arial" w:eastAsia="Arial" w:hAnsi="Arial"/>
          <w:i/>
          <w:iCs/>
          <w:color w:val="1C2B3A"/>
          <w:sz w:val="20"/>
          <w:szCs w:val="20"/>
        </w:rPr>
        <w:t xml:space="preserve">Get projects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) rewritten. Nothing in the app changes: it has always posted the chosen state to the flow. The flow just has to decide where to look.</w:t>
      </w:r>
    </w:p>
    <w:p>
      <w:pPr>
        <w:pBdr>
          <w:bottom w:val="single" w:color="C9C2B4" w:sz="6" w:space="1"/>
        </w:pBdr>
        <w:spacing w:after="200" w:before="200"/>
      </w:pP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A4258"/>
          <w:sz w:val="30"/>
          <w:szCs w:val="30"/>
        </w:rPr>
        <w:t xml:space="preserve">Before you start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A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Variation Project Register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list on each state's SharePoint site, all with the same columns. Copying the structure between sites is covered in </w:t>
      </w:r>
      <w:r>
        <w:rPr>
          <w:rFonts w:ascii="Arial" w:cs="Arial" w:eastAsia="Arial" w:hAnsi="Arial"/>
          <w:i/>
          <w:iCs/>
          <w:color w:val="1C2B3A"/>
          <w:sz w:val="20"/>
          <w:szCs w:val="20"/>
        </w:rPr>
        <w:t xml:space="preserve">The Two Registers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section 4 — use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New → List → From existing list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never an Excel export and import.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The site URL for each state, e.g.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https://axisplumbingptyltd.sharepoint.com/sites/AXPVIC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Flow 1 already built and connected, even if it currently points at one list.</w:t>
      </w:r>
    </w:p>
    <w:p>
      <w:pPr>
        <w:pBdr>
          <w:bottom w:val="single" w:color="C9C2B4" w:sz="6" w:space="1"/>
        </w:pBdr>
        <w:spacing w:after="200" w:before="200"/>
      </w:pP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A4258"/>
          <w:sz w:val="30"/>
          <w:szCs w:val="30"/>
        </w:rPr>
        <w:t xml:space="preserve">What the app sends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The moment someone clicks an office tile, the app posts this to flow 1:</w:t>
      </w:r>
    </w:p>
    <w:p>
      <w:pPr>
        <w:pBdr>
          <w:left w:val="single" w:color="4C5C6D" w:sz="12" w:space="8"/>
        </w:pBdr>
        <w:shd w:fill="F2F0EA" w:val="clear"/>
        <w:spacing w:after="160" w:before="12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{ "state": "VIC" }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That is the whole input. Everything below is about turning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VIC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into a site and a list name.</w:t>
      </w:r>
    </w:p>
    <w:p>
      <w:pPr>
        <w:pBdr>
          <w:bottom w:val="single" w:color="C9C2B4" w:sz="6" w:space="1"/>
        </w:pBdr>
        <w:spacing w:after="200" w:before="200"/>
      </w:pP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A4258"/>
          <w:sz w:val="30"/>
          <w:szCs w:val="30"/>
        </w:rPr>
        <w:t xml:space="preserve">The flow, step by step</w:t>
      </w: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1 · Trigger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When an HTTP request is received.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Leave the Request Body JSON Schema empty — we parse the body ourselves. Under Advanced parameters set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Method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to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POST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</w:t>
      </w: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2 · Read the state out of the request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Data Operation → Compose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named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State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 Inputs:</w:t>
      </w:r>
    </w:p>
    <w:p>
      <w:pPr>
        <w:pBdr>
          <w:left w:val="single" w:color="4C5C6D" w:sz="12" w:space="8"/>
        </w:pBdr>
        <w:shd w:fill="F2F0EA" w:val="clear"/>
        <w:spacing w:after="160" w:before="12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@{json(triggerBody())?['state']}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The body is read with </w:t>
      </w:r>
      <w:r>
        <w:rPr>
          <w:rFonts w:ascii="Consolas" w:cs="Consolas" w:eastAsia="Consolas" w:hAnsi="Consolas"/>
          <w:i/>
          <w:iCs/>
          <w:color w:val="2A4258"/>
          <w:sz w:val="18"/>
          <w:szCs w:val="18"/>
          <w:shd w:fill="F2F0EA" w:val="clear"/>
        </w:rPr>
        <w:t xml:space="preserve">json(triggerBody())</w:t>
      </w: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 rather than the trigger's own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parsed output because the app sends its JSON as </w:t>
      </w:r>
      <w:r>
        <w:rPr>
          <w:rFonts w:ascii="Consolas" w:cs="Consolas" w:eastAsia="Consolas" w:hAnsi="Consolas"/>
          <w:i/>
          <w:iCs/>
          <w:color w:val="2A4258"/>
          <w:sz w:val="18"/>
          <w:szCs w:val="18"/>
          <w:shd w:fill="F2F0EA" w:val="clear"/>
        </w:rPr>
        <w:t xml:space="preserve">text/plain</w:t>
      </w: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. That is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deliberate — </w:t>
      </w:r>
      <w:r>
        <w:rPr>
          <w:rFonts w:ascii="Consolas" w:cs="Consolas" w:eastAsia="Consolas" w:hAnsi="Consolas"/>
          <w:i/>
          <w:iCs/>
          <w:color w:val="2A4258"/>
          <w:sz w:val="18"/>
          <w:szCs w:val="18"/>
          <w:shd w:fill="F2F0EA" w:val="clear"/>
        </w:rPr>
        <w:t xml:space="preserve">application/json</w:t>
      </w: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 makes the browser send a preflight </w:t>
      </w:r>
      <w:r>
        <w:rPr>
          <w:rFonts w:ascii="Consolas" w:cs="Consolas" w:eastAsia="Consolas" w:hAnsi="Consolas"/>
          <w:i/>
          <w:iCs/>
          <w:color w:val="2A4258"/>
          <w:sz w:val="18"/>
          <w:szCs w:val="18"/>
          <w:shd w:fill="F2F0EA" w:val="clear"/>
        </w:rPr>
        <w:t xml:space="preserve">OPTIONS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first, and an HTTP trigger locked to POST answers that with a 405 the browser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treats as a refusal, so the flow never sees the real request at all.</w:t>
      </w: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3 · The map of states to lists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Data Operation → Compose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named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Sites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 Paste this into Inputs as-is — it is an object, not a string, so do not wrap it in quotes:</w:t>
      </w:r>
    </w:p>
    <w:p>
      <w:pPr>
        <w:pBdr>
          <w:left w:val="single" w:color="4C5C6D" w:sz="12" w:space="8"/>
        </w:pBdr>
        <w:shd w:fill="F2F0EA" w:val="clear"/>
        <w:spacing w:after="0" w:before="12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{</w:t>
      </w:r>
    </w:p>
    <w:p>
      <w:pPr>
        <w:pBdr>
          <w:left w:val="single" w:color="4C5C6D" w:sz="12" w:space="8"/>
        </w:pBdr>
        <w:shd w:fill="F2F0EA" w:val="clear"/>
        <w:spacing w:after="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  "VIC": { "site": "https://axisplumbingptyltd.sharepoint.com/sites/AXPVIC", "list": "Variation Project Register" },</w:t>
      </w:r>
    </w:p>
    <w:p>
      <w:pPr>
        <w:pBdr>
          <w:left w:val="single" w:color="4C5C6D" w:sz="12" w:space="8"/>
        </w:pBdr>
        <w:shd w:fill="F2F0EA" w:val="clear"/>
        <w:spacing w:after="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  "NSW": { "site": "https://axisplumbingptyltd.sharepoint.com/sites/AXPNSW", "list": "Variation Project Register" },</w:t>
      </w:r>
    </w:p>
    <w:p>
      <w:pPr>
        <w:pBdr>
          <w:left w:val="single" w:color="4C5C6D" w:sz="12" w:space="8"/>
        </w:pBdr>
        <w:shd w:fill="F2F0EA" w:val="clear"/>
        <w:spacing w:after="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  "QLD": { "site": "https://axisplumbingptyltd.sharepoint.com/sites/AXPQLD", "list": "Variation Project Register" },</w:t>
      </w:r>
    </w:p>
    <w:p>
      <w:pPr>
        <w:pBdr>
          <w:left w:val="single" w:color="4C5C6D" w:sz="12" w:space="8"/>
        </w:pBdr>
        <w:shd w:fill="F2F0EA" w:val="clear"/>
        <w:spacing w:after="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  "SA":  { "site": "https://axisplumbingptyltd.sharepoint.com/sites/AXPSA",  "list": "Variation Project Register" },</w:t>
      </w:r>
    </w:p>
    <w:p>
      <w:pPr>
        <w:pBdr>
          <w:left w:val="single" w:color="4C5C6D" w:sz="12" w:space="8"/>
        </w:pBdr>
        <w:shd w:fill="F2F0EA" w:val="clear"/>
        <w:spacing w:after="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  "WA":  { "site": "https://axisplumbingptyltd.sharepoint.com/sites/AXPWA",  "list": "Variation Project Register" },</w:t>
      </w:r>
    </w:p>
    <w:p>
      <w:pPr>
        <w:pBdr>
          <w:left w:val="single" w:color="4C5C6D" w:sz="12" w:space="8"/>
        </w:pBdr>
        <w:shd w:fill="F2F0EA" w:val="clear"/>
        <w:spacing w:after="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  "NT":  { "site": "https://axisplumbingptyltd.sharepoint.com/sites/AXPNT",  "list": "Variation Project Register" },</w:t>
      </w:r>
    </w:p>
    <w:p>
      <w:pPr>
        <w:pBdr>
          <w:left w:val="single" w:color="4C5C6D" w:sz="12" w:space="8"/>
        </w:pBdr>
        <w:shd w:fill="F2F0EA" w:val="clear"/>
        <w:spacing w:after="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  "ACT": { "site": "https://axisplumbingptyltd.sharepoint.com/sites/AXPACT", "list": "Variation Project Register" },</w:t>
      </w:r>
    </w:p>
    <w:p>
      <w:pPr>
        <w:pBdr>
          <w:left w:val="single" w:color="4C5C6D" w:sz="12" w:space="8"/>
        </w:pBdr>
        <w:shd w:fill="F2F0EA" w:val="clear"/>
        <w:spacing w:after="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  "NZ":  { "site": "https://axisplumbingptyltd.sharepoint.com/sites/AXPNZ",  "list": "Variation Project Register" }</w:t>
      </w:r>
    </w:p>
    <w:p>
      <w:pPr>
        <w:pBdr>
          <w:left w:val="single" w:color="4C5C6D" w:sz="12" w:space="8"/>
        </w:pBdr>
        <w:shd w:fill="F2F0EA" w:val="clear"/>
        <w:spacing w:after="16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}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Correct the site URLs to your own. Delete any state you do not trade in — a state that is not in the map simply gets an empty dropdown.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The keys must match the codes on the office tiles exactly, including case: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VIC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NSW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QLD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SA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WA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NT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ACT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NZ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</w:t>
      </w: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4 · Pick the one that matches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Data Operation → Compose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named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Target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 Inputs:</w:t>
      </w:r>
    </w:p>
    <w:p>
      <w:pPr>
        <w:pBdr>
          <w:left w:val="single" w:color="4C5C6D" w:sz="12" w:space="8"/>
        </w:pBdr>
        <w:shd w:fill="F2F0EA" w:val="clear"/>
        <w:spacing w:after="160" w:before="12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@{outputs('Sites')?[outputs('State')]}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This is the whole of "if they pick X, go to X's list". The key inside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?[ ]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is an expression, so the office chosen on the opening screen selects the entry.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VIC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returns that state's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{ site, list }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pair; a state not in the map returns nothing, which the next step handles.</w:t>
      </w: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5 · Somewhere to put the rows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Variable → Initialize variable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:</w:t>
      </w:r>
    </w:p>
    <w:tbl>
      <w:tblPr>
        <w:tblW w:type="dxa" w:w="9026"/>
        <w:tblBorders>
          <w:top w:val="single" w:color="C9C2B4" w:sz="4"/>
          <w:left w:val="single" w:color="C9C2B4" w:sz="4"/>
          <w:bottom w:val="single" w:color="C9C2B4" w:sz="4"/>
          <w:right w:val="single" w:color="C9C2B4" w:sz="4"/>
          <w:insideH w:val="single" w:color="C9C2B4" w:sz="4"/>
          <w:insideV w:val="single" w:color="C9C2B4" w:sz="4"/>
        </w:tblBorders>
      </w:tblPr>
      <w:tblGrid>
        <w:gridCol w:w="3800"/>
        <w:gridCol w:w="5226"/>
      </w:tblGrid>
      <w:tr>
        <w:trPr>
          <w:tblHeader/>
        </w:trPr>
        <w:tc>
          <w:tcPr>
            <w:tcW w:type="dxa" w:w="3800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tcW w:type="dxa" w:w="5226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3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Name</w:t>
            </w:r>
          </w:p>
        </w:tc>
        <w:tc>
          <w:tcPr>
            <w:tcW w:type="dxa" w:w="5226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Rows</w:t>
            </w:r>
          </w:p>
        </w:tc>
      </w:tr>
      <w:tr>
        <w:tc>
          <w:tcPr>
            <w:tcW w:type="dxa" w:w="3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Type</w:t>
            </w:r>
          </w:p>
        </w:tc>
        <w:tc>
          <w:tcPr>
            <w:tcW w:type="dxa" w:w="5226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C2B3A"/>
                <w:sz w:val="18"/>
                <w:szCs w:val="18"/>
              </w:rPr>
              <w:t xml:space="preserve">Array</w:t>
            </w:r>
          </w:p>
        </w:tc>
      </w:tr>
      <w:tr>
        <w:tc>
          <w:tcPr>
            <w:tcW w:type="dxa" w:w="3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Value</w:t>
            </w:r>
          </w:p>
        </w:tc>
        <w:tc>
          <w:tcPr>
            <w:tcW w:type="dxa" w:w="5226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leave empty</w:t>
            </w:r>
          </w:p>
        </w:tc>
      </w:tr>
    </w:tbl>
    <w:p>
      <w:pPr>
        <w:spacing w:after="200"/>
      </w:pP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6 · Is this a state we know?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Control → Condition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:</w:t>
      </w:r>
    </w:p>
    <w:tbl>
      <w:tblPr>
        <w:tblW w:type="dxa" w:w="9026"/>
        <w:tblBorders>
          <w:top w:val="single" w:color="C9C2B4" w:sz="4"/>
          <w:left w:val="single" w:color="C9C2B4" w:sz="4"/>
          <w:bottom w:val="single" w:color="C9C2B4" w:sz="4"/>
          <w:right w:val="single" w:color="C9C2B4" w:sz="4"/>
          <w:insideH w:val="single" w:color="C9C2B4" w:sz="4"/>
          <w:insideV w:val="single" w:color="C9C2B4" w:sz="4"/>
        </w:tblBorders>
      </w:tblPr>
      <w:tblGrid>
        <w:gridCol w:w="1061"/>
        <w:gridCol w:w="7965"/>
      </w:tblGrid>
      <w:tr>
        <w:trPr>
          <w:tblHeader/>
        </w:trPr>
        <w:tc>
          <w:tcPr>
            <w:tcW w:type="dxa" w:w="1061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Side</w:t>
            </w:r>
          </w:p>
        </w:tc>
        <w:tc>
          <w:tcPr>
            <w:tcW w:type="dxa" w:w="7965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Enter</w:t>
            </w:r>
          </w:p>
        </w:tc>
      </w:tr>
      <w:tr>
        <w:tc>
          <w:tcPr>
            <w:tcW w:type="dxa" w:w="106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Left</w:t>
            </w:r>
          </w:p>
        </w:tc>
        <w:tc>
          <w:tcPr>
            <w:tcW w:type="dxa" w:w="796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if(empty(outputs('Target')), 'none', 'found')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 — </w:t>
            </w:r>
            <w:r>
              <w:rPr>
                <w:rFonts w:ascii="Arial" w:cs="Arial" w:eastAsia="Arial" w:hAnsi="Arial"/>
                <w:b/>
                <w:bCs/>
                <w:color w:val="1C2B3A"/>
                <w:sz w:val="18"/>
                <w:szCs w:val="18"/>
              </w:rPr>
              <w:t xml:space="preserve">via the expression editor (fx)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, not typed into the box</w:t>
            </w:r>
          </w:p>
        </w:tc>
      </w:tr>
      <w:tr>
        <w:tc>
          <w:tcPr>
            <w:tcW w:type="dxa" w:w="106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Operator</w:t>
            </w:r>
          </w:p>
        </w:tc>
        <w:tc>
          <w:tcPr>
            <w:tcW w:type="dxa" w:w="796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C2B3A"/>
                <w:sz w:val="18"/>
                <w:szCs w:val="18"/>
              </w:rPr>
              <w:t xml:space="preserve">is equal to</w:t>
            </w:r>
          </w:p>
        </w:tc>
      </w:tr>
      <w:tr>
        <w:tc>
          <w:tcPr>
            <w:tcW w:type="dxa" w:w="106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Right</w:t>
            </w:r>
          </w:p>
        </w:tc>
        <w:tc>
          <w:tcPr>
            <w:tcW w:type="dxa" w:w="796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found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 — typed straight into the box</w:t>
            </w:r>
          </w:p>
        </w:tc>
      </w:tr>
    </w:tbl>
    <w:p>
      <w:pPr>
        <w:spacing w:after="200"/>
      </w:pP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Three things to check, because each on its own sends every run down the wrong branch: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The operator is </w:t>
      </w:r>
      <w:r>
        <w:rPr>
          <w:rFonts w:ascii="Consolas" w:cs="Consolas" w:eastAsia="Consolas" w:hAnsi="Consolas"/>
          <w:b/>
          <w:bCs/>
          <w:color w:val="2A4258"/>
          <w:sz w:val="18"/>
          <w:szCs w:val="18"/>
          <w:shd w:fill="F2F0EA" w:val="clear"/>
        </w:rPr>
        <w:t xml:space="preserve">is equal to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not </w:t>
      </w:r>
      <w:r>
        <w:rPr>
          <w:rFonts w:ascii="Arial" w:cs="Arial" w:eastAsia="Arial" w:hAnsi="Arial"/>
          <w:i/>
          <w:iCs/>
          <w:color w:val="1C2B3A"/>
          <w:sz w:val="20"/>
          <w:szCs w:val="20"/>
        </w:rPr>
        <w:t xml:space="preserve">is not equal to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b/>
          <w:bCs/>
          <w:color w:val="2A4258"/>
          <w:sz w:val="18"/>
          <w:szCs w:val="18"/>
          <w:shd w:fill="F2F0EA" w:val="clear"/>
        </w:rPr>
        <w:t xml:space="preserve">found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 matches the expression exactly, including case.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Comparison is case-sensitive, so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Found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never matches.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There is only one row in the condition.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The designer leaves an empty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Choose a value / Choose a value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row behind if you add one by accident, and joined with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And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it drags the whole condition false. Remove it from the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…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menu at the end of that row.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b/>
          <w:bCs/>
          <w:i/>
          <w:iCs/>
          <w:color w:val="6B6459"/>
          <w:sz w:val="20"/>
          <w:szCs w:val="20"/>
        </w:rPr>
        <w:t xml:space="preserve">Why it is written that way.</w:t>
      </w: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 The obvious version — count the rows, compare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to zero — fails in two different ways. An operand typed into the box is text;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one added through the expression editor is whatever the expression returns. So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a number on one side and text on the other gives you either a loud failure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(</w:t>
      </w:r>
      <w:r>
        <w:rPr>
          <w:rFonts w:ascii="Consolas" w:cs="Consolas" w:eastAsia="Consolas" w:hAnsi="Consolas"/>
          <w:i/>
          <w:iCs/>
          <w:color w:val="2A4258"/>
          <w:sz w:val="18"/>
          <w:szCs w:val="18"/>
          <w:shd w:fill="F2F0EA" w:val="clear"/>
        </w:rPr>
        <w:t xml:space="preserve">is greater than</w:t>
      </w: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 requires matching types) or a silent wrong answer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(</w:t>
      </w:r>
      <w:r>
        <w:rPr>
          <w:rFonts w:ascii="Consolas" w:cs="Consolas" w:eastAsia="Consolas" w:hAnsi="Consolas"/>
          <w:i/>
          <w:iCs/>
          <w:color w:val="2A4258"/>
          <w:sz w:val="18"/>
          <w:szCs w:val="18"/>
          <w:shd w:fill="F2F0EA" w:val="clear"/>
        </w:rPr>
        <w:t xml:space="preserve">is equal to</w:t>
      </w: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 does not, and simply calls values of different types unequal).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Two strings that can only be strings removes the question.</w:t>
      </w: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7 · The True branch — read that state's list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SharePoint → Get items.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Click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Enter custom value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on the first two dropdowns rather than picking from the list:</w:t>
      </w:r>
    </w:p>
    <w:tbl>
      <w:tblPr>
        <w:tblW w:type="dxa" w:w="9026"/>
        <w:tblBorders>
          <w:top w:val="single" w:color="C9C2B4" w:sz="4"/>
          <w:left w:val="single" w:color="C9C2B4" w:sz="4"/>
          <w:bottom w:val="single" w:color="C9C2B4" w:sz="4"/>
          <w:right w:val="single" w:color="C9C2B4" w:sz="4"/>
          <w:insideH w:val="single" w:color="C9C2B4" w:sz="4"/>
          <w:insideV w:val="single" w:color="C9C2B4" w:sz="4"/>
        </w:tblBorders>
      </w:tblPr>
      <w:tblGrid>
        <w:gridCol w:w="2406"/>
        <w:gridCol w:w="6620"/>
      </w:tblGrid>
      <w:tr>
        <w:trPr>
          <w:tblHeader/>
        </w:trPr>
        <w:tc>
          <w:tcPr>
            <w:tcW w:type="dxa" w:w="2406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tcW w:type="dxa" w:w="6620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2406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Site Address</w:t>
            </w:r>
          </w:p>
        </w:tc>
        <w:tc>
          <w:tcPr>
            <w:tcW w:type="dxa" w:w="662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@{outputs('Target')?['site']}</w:t>
            </w:r>
          </w:p>
        </w:tc>
      </w:tr>
      <w:tr>
        <w:tc>
          <w:tcPr>
            <w:tcW w:type="dxa" w:w="2406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List Name</w:t>
            </w:r>
          </w:p>
        </w:tc>
        <w:tc>
          <w:tcPr>
            <w:tcW w:type="dxa" w:w="662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@{outputs('Target')?['list']}</w:t>
            </w:r>
          </w:p>
        </w:tc>
      </w:tr>
      <w:tr>
        <w:tc>
          <w:tcPr>
            <w:tcW w:type="dxa" w:w="2406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Filter Query</w:t>
            </w:r>
          </w:p>
        </w:tc>
        <w:tc>
          <w:tcPr>
            <w:tcW w:type="dxa" w:w="662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Active eq 1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 — or leave it empty</w:t>
            </w:r>
          </w:p>
        </w:tc>
      </w:tr>
      <w:tr>
        <w:tc>
          <w:tcPr>
            <w:tcW w:type="dxa" w:w="2406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Top Count</w:t>
            </w:r>
          </w:p>
        </w:tc>
        <w:tc>
          <w:tcPr>
            <w:tcW w:type="dxa" w:w="662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500</w:t>
            </w:r>
          </w:p>
        </w:tc>
      </w:tr>
    </w:tbl>
    <w:p>
      <w:pPr>
        <w:spacing w:after="200"/>
      </w:pP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There is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no </w:t>
      </w:r>
      <w:r>
        <w:rPr>
          <w:rFonts w:ascii="Consolas" w:cs="Consolas" w:eastAsia="Consolas" w:hAnsi="Consolas"/>
          <w:b/>
          <w:bCs/>
          <w:color w:val="2A4258"/>
          <w:sz w:val="18"/>
          <w:szCs w:val="18"/>
          <w:shd w:fill="F2F0EA" w:val="clear"/>
        </w:rPr>
        <w:t xml:space="preserve">State eq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 filter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 The list </w:t>
      </w:r>
      <w:r>
        <w:rPr>
          <w:rFonts w:ascii="Arial" w:cs="Arial" w:eastAsia="Arial" w:hAnsi="Arial"/>
          <w:i/>
          <w:iCs/>
          <w:color w:val="1C2B3A"/>
          <w:sz w:val="20"/>
          <w:szCs w:val="20"/>
        </w:rPr>
        <w:t xml:space="preserve">is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the state.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Then, still inside the True branch: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Variable → Set variable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— Name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Rows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Value:</w:t>
      </w:r>
    </w:p>
    <w:p>
      <w:pPr>
        <w:pBdr>
          <w:left w:val="single" w:color="4C5C6D" w:sz="12" w:space="8"/>
        </w:pBdr>
        <w:shd w:fill="F2F0EA" w:val="clear"/>
        <w:spacing w:after="160" w:before="12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@{body('Get_items')?['value']}</w:t>
      </w: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8 · The False branch — leave it empty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Nothing goes here.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Rows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stays empty, so an unmapped state gives an empty dropdown rather than another state's projects, and no action fails.</w:t>
      </w: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9 · Reply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Response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Status Code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—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200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Body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:</w:t>
      </w:r>
    </w:p>
    <w:p>
      <w:pPr>
        <w:pBdr>
          <w:left w:val="single" w:color="4C5C6D" w:sz="12" w:space="8"/>
        </w:pBdr>
        <w:shd w:fill="F2F0EA" w:val="clear"/>
        <w:spacing w:after="160" w:before="12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{ "projects": @{variables('Rows')} }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Headers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(Advanced parameters):</w:t>
      </w:r>
    </w:p>
    <w:tbl>
      <w:tblPr>
        <w:tblW w:type="dxa" w:w="9026"/>
        <w:tblBorders>
          <w:top w:val="single" w:color="C9C2B4" w:sz="4"/>
          <w:left w:val="single" w:color="C9C2B4" w:sz="4"/>
          <w:bottom w:val="single" w:color="C9C2B4" w:sz="4"/>
          <w:right w:val="single" w:color="C9C2B4" w:sz="4"/>
          <w:insideH w:val="single" w:color="C9C2B4" w:sz="4"/>
          <w:insideV w:val="single" w:color="C9C2B4" w:sz="4"/>
        </w:tblBorders>
      </w:tblPr>
      <w:tblGrid>
        <w:gridCol w:w="4362"/>
        <w:gridCol w:w="4664"/>
      </w:tblGrid>
      <w:tr>
        <w:trPr>
          <w:tblHeader/>
        </w:trPr>
        <w:tc>
          <w:tcPr>
            <w:tcW w:type="dxa" w:w="4362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Header</w:t>
            </w:r>
          </w:p>
        </w:tc>
        <w:tc>
          <w:tcPr>
            <w:tcW w:type="dxa" w:w="4664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4362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Content-Type</w:t>
            </w:r>
          </w:p>
        </w:tc>
        <w:tc>
          <w:tcPr>
            <w:tcW w:type="dxa" w:w="4664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application/json</w:t>
            </w:r>
          </w:p>
        </w:tc>
      </w:tr>
      <w:tr>
        <w:tc>
          <w:tcPr>
            <w:tcW w:type="dxa" w:w="4362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Access-Control-Allow-Origin</w:t>
            </w:r>
          </w:p>
        </w:tc>
        <w:tc>
          <w:tcPr>
            <w:tcW w:type="dxa" w:w="4664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https://your-site.netlify.app</w:t>
            </w:r>
          </w:p>
        </w:tc>
      </w:tr>
    </w:tbl>
    <w:p>
      <w:pPr>
        <w:spacing w:after="200"/>
      </w:pP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That header is the step everything hinges on.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Without it the request still reaches the flow and the flow still answers, but the browser refuses to hand the reply to the app, and you get </w:t>
      </w:r>
      <w:r>
        <w:rPr>
          <w:rFonts w:ascii="Arial" w:cs="Arial" w:eastAsia="Arial" w:hAnsi="Arial"/>
          <w:i/>
          <w:iCs/>
          <w:color w:val="1C2B3A"/>
          <w:sz w:val="20"/>
          <w:szCs w:val="20"/>
        </w:rPr>
        <w:t xml:space="preserve">"The browser could not reach the flow"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— which looks like a network problem and is not one.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Use the site's real origin: scheme and host, no trailing slash, no path.</w:t>
      </w:r>
    </w:p>
    <w:p>
      <w:pPr>
        <w:pBdr>
          <w:bottom w:val="single" w:color="C9C2B4" w:sz="6" w:space="1"/>
        </w:pBdr>
        <w:spacing w:after="200" w:before="200"/>
      </w:pP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A4258"/>
          <w:sz w:val="30"/>
          <w:szCs w:val="30"/>
        </w:rPr>
        <w:t xml:space="preserve">Test it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Save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then in the app: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Settings → Test projects flow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 It reports how many projects came back and names the first one.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Then open each office in turn and check the dropdown holds that state's projects and nothing else.</w:t>
      </w:r>
    </w:p>
    <w:p>
      <w:pPr>
        <w:pBdr>
          <w:bottom w:val="single" w:color="C9C2B4" w:sz="6" w:space="1"/>
        </w:pBdr>
        <w:spacing w:after="200" w:before="200"/>
      </w:pP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A4258"/>
          <w:sz w:val="30"/>
          <w:szCs w:val="30"/>
        </w:rPr>
        <w:t xml:space="preserve">Two things this changes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Drop the </w:t>
      </w:r>
      <w:r>
        <w:rPr>
          <w:rFonts w:ascii="Consolas" w:cs="Consolas" w:eastAsia="Consolas" w:hAnsi="Consolas"/>
          <w:b/>
          <w:bCs/>
          <w:color w:val="2A4258"/>
          <w:sz w:val="18"/>
          <w:szCs w:val="18"/>
          <w:shd w:fill="F2F0EA" w:val="clear"/>
        </w:rPr>
        <w:t xml:space="preserve">State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 column if you like.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With a list per state the column is redundant, and the app treats a row with no state as belonging to whichever register it came from. Keep it if you find it useful for reporting.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Project ids now collide across states.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Each SharePoint list numbers its own items from 1, so project id 2 is a VIC job </w:t>
      </w:r>
      <w:r>
        <w:rPr>
          <w:rFonts w:ascii="Arial" w:cs="Arial" w:eastAsia="Arial" w:hAnsi="Arial"/>
          <w:i/>
          <w:iCs/>
          <w:color w:val="1C2B3A"/>
          <w:sz w:val="20"/>
          <w:szCs w:val="20"/>
        </w:rPr>
        <w:t xml:space="preserve">and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an NSW one. The app already handles this by narrowing on state before project — but it means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State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must be written to the variation log and filtered on in the log flows. With one shared register that was belt and braces; with a list per state it is load-bearing.</w:t>
      </w:r>
    </w:p>
    <w:p>
      <w:pPr>
        <w:pBdr>
          <w:bottom w:val="single" w:color="C9C2B4" w:sz="6" w:space="1"/>
        </w:pBdr>
        <w:spacing w:after="200" w:before="200"/>
      </w:pP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A4258"/>
          <w:sz w:val="30"/>
          <w:szCs w:val="30"/>
        </w:rPr>
        <w:t xml:space="preserve">If something does not work</w:t>
      </w:r>
    </w:p>
    <w:tbl>
      <w:tblPr>
        <w:tblW w:type="dxa" w:w="9026"/>
        <w:tblBorders>
          <w:top w:val="single" w:color="C9C2B4" w:sz="4"/>
          <w:left w:val="single" w:color="C9C2B4" w:sz="4"/>
          <w:bottom w:val="single" w:color="C9C2B4" w:sz="4"/>
          <w:right w:val="single" w:color="C9C2B4" w:sz="4"/>
          <w:insideH w:val="single" w:color="C9C2B4" w:sz="4"/>
          <w:insideV w:val="single" w:color="C9C2B4" w:sz="4"/>
        </w:tblBorders>
      </w:tblPr>
      <w:tblGrid>
        <w:gridCol w:w="4275"/>
        <w:gridCol w:w="4751"/>
      </w:tblGrid>
      <w:tr>
        <w:trPr>
          <w:tblHeader/>
        </w:trPr>
        <w:tc>
          <w:tcPr>
            <w:tcW w:type="dxa" w:w="4275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see</w:t>
            </w:r>
          </w:p>
        </w:tc>
        <w:tc>
          <w:tcPr>
            <w:tcW w:type="dxa" w:w="4751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it is</w:t>
            </w:r>
          </w:p>
        </w:tc>
      </w:tr>
      <w:tr>
        <w:tc>
          <w:tcPr>
            <w:tcW w:type="dxa" w:w="427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Dropdown empty for every state</w:t>
            </w:r>
          </w:p>
        </w:tc>
        <w:tc>
          <w:tcPr>
            <w:tcW w:type="dxa" w:w="475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Target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 resolved to nothing. Check the </w:t>
            </w: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Sites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 keys match the tile codes exactly, including case</w:t>
            </w:r>
          </w:p>
        </w:tc>
      </w:tr>
      <w:tr>
        <w:tc>
          <w:tcPr>
            <w:tcW w:type="dxa" w:w="427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Dropdown empty for one state only</w:t>
            </w:r>
          </w:p>
        </w:tc>
        <w:tc>
          <w:tcPr>
            <w:tcW w:type="dxa" w:w="475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That state is missing from the map, or its key is misspelt</w:t>
            </w:r>
          </w:p>
        </w:tc>
      </w:tr>
      <w:tr>
        <w:tc>
          <w:tcPr>
            <w:tcW w:type="dxa" w:w="427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1C2B3A"/>
                <w:sz w:val="18"/>
                <w:szCs w:val="18"/>
              </w:rPr>
              <w:t xml:space="preserve">"The browser could not reach the flow"</w:t>
            </w:r>
          </w:p>
        </w:tc>
        <w:tc>
          <w:tcPr>
            <w:tcW w:type="dxa" w:w="475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The </w:t>
            </w: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Access-Control-Allow-Origin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 header on the Response, nine times in ten. Otherwise the flow is off, or the URL was truncated when pasted</w:t>
            </w:r>
          </w:p>
        </w:tc>
      </w:tr>
      <w:tr>
        <w:tc>
          <w:tcPr>
            <w:tcW w:type="dxa" w:w="427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Get items fails with an invalid site</w:t>
            </w:r>
          </w:p>
        </w:tc>
        <w:tc>
          <w:tcPr>
            <w:tcW w:type="dxa" w:w="475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Target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 is empty and the True branch ran anyway — the condition is inverted or its right-hand value does not match </w:t>
            </w: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found</w:t>
            </w:r>
          </w:p>
        </w:tc>
      </w:tr>
      <w:tr>
        <w:tc>
          <w:tcPr>
            <w:tcW w:type="dxa" w:w="427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Projects load but every field except the name is blank</w:t>
            </w:r>
          </w:p>
        </w:tc>
        <w:tc>
          <w:tcPr>
            <w:tcW w:type="dxa" w:w="475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Not this flow. The column names are not arriving in a form the app recognises — pick a project and read the line under the dropdown, which names what actually came back</w:t>
            </w:r>
          </w:p>
        </w:tc>
      </w:tr>
      <w:tr>
        <w:tc>
          <w:tcPr>
            <w:tcW w:type="dxa" w:w="427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One state shows another's projects</w:t>
            </w:r>
          </w:p>
        </w:tc>
        <w:tc>
          <w:tcPr>
            <w:tcW w:type="dxa" w:w="475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The map has two states pointing at the same site or list</w:t>
            </w:r>
          </w:p>
        </w:tc>
      </w:tr>
    </w:tbl>
    <w:p>
      <w:pPr>
        <w:spacing w:after="200"/>
      </w:pP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B6459"/>
        <w:sz w:val="16"/>
        <w:szCs w:val="16"/>
      </w:rPr>
      <w:t xml:space="preserve">4 - Routing Each State to Its Own List    |    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00" w:hanging="240"/>
      </w:pPr>
    </w:lvl>
    <w:lvl w:ilvl="1" w15:tentative="1">
      <w:start w:val="1"/>
      <w:numFmt w:val="bullet"/>
      <w:lvlText w:val="◦"/>
      <w:lvlJc w:val="start"/>
      <w:pPr>
        <w:ind w:left="800" w:hanging="240"/>
      </w:pPr>
    </w:lvl>
    <w:lvl w:ilvl="2" w15:tentative="1">
      <w:start w:val="1"/>
      <w:numFmt w:val="bullet"/>
      <w:lvlText w:val="▪"/>
      <w:lvlJc w:val="star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20" w:hanging="260"/>
      </w:pPr>
    </w:lvl>
    <w:lvl w:ilvl="1" w15:tentative="1">
      <w:start w:val="1"/>
      <w:numFmt w:val="decimal"/>
      <w:lvlText w:val="%2."/>
      <w:lvlJc w:val="start"/>
      <w:pPr>
        <w:ind w:left="840" w:hanging="260"/>
      </w:pPr>
    </w:lvl>
    <w:lvl w:ilvl="2" w15:tentative="1">
      <w:start w:val="1"/>
      <w:numFmt w:val="decimal"/>
      <w:lvlText w:val="%3."/>
      <w:lvlJc w:val="start"/>
      <w:pPr>
        <w:ind w:left="12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C2B3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4 - Routing Each State to Its Own List</dc:title>
  <dc:creator>Axis Services</dc:creator>
  <dc:description>Variation Cover Sheet setup guide</dc:description>
  <cp:lastModifiedBy>Un-named</cp:lastModifiedBy>
  <cp:revision>1</cp:revision>
  <dcterms:created xsi:type="dcterms:W3CDTF">2026-10-19T04:54:35.828Z</dcterms:created>
  <dcterms:modified xsi:type="dcterms:W3CDTF">2026-10-19T04:54:35.828Z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