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Administrator settings → A</w:t>
      </w:r>
      <w:r>
        <w:rPr>
          <w:rFonts w:ascii="Arial" w:cs="Arial" w:eastAsia="Arial" w:hAnsi="Arial"/>
          <w:color w:val="1C2B3A"/>
          <w:sz w:val="20"/>
          <w:szCs w:val="20"/>
        </w:rPr>
        <w:t xml:space="preserve"> — paste the five URLs into the boxes.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B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Administrator settings → B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w:t>
      </w:r>
      <w:r>
        <w:rPr>
          <w:rFonts w:ascii="Arial" w:cs="Arial" w:eastAsia="Arial" w:hAnsi="Arial"/>
          <w:color w:val="1C2B3A"/>
          <w:sz w:val="20"/>
          <w:szCs w:val="20"/>
        </w:rPr>
        <w:t xml:space="preserve"> shows them in full and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leaving the screen hides them anyway, so they are never left on display. There is no second password here — this screen is already behind one, and asking again for something you have just proved is friction pretending to be security. The toggle is for shoulders and shared screens.</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2026-10-19T04:54:36.106Z</dcterms:created>
  <dcterms:modified xsi:type="dcterms:W3CDTF">2026-10-19T04:54:36.106Z</dcterms:modified>
</cp:coreProperties>
</file>

<file path=docProps/custom.xml><?xml version="1.0" encoding="utf-8"?>
<Properties xmlns="http://schemas.openxmlformats.org/officeDocument/2006/custom-properties" xmlns:vt="http://schemas.openxmlformats.org/officeDocument/2006/docPropsVTypes"/>
</file>