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Two screens</w:t>
      </w:r>
    </w:p>
    <w:p>
      <w:pPr>
        <w:spacing w:after="160" w:line="276"/>
      </w:pP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is open to everyone using the app and holds one thing: the office register that fills in section 1 of the cover sheet. Someone correcting a phone number needs no password and can break nothing that matters.</w:t>
      </w:r>
    </w:p>
    <w:p>
      <w:pPr>
        <w:spacing w:after="160" w:line="276"/>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behind the button at the top of Settings, holds everything shared by the whole organisation: the Power Automate connections, the column mapping, building the flow URLs into the app, and this password. That is the screen the password guards.</w:t>
      </w:r>
    </w:p>
    <w:p>
      <w:pPr>
        <w:spacing w:after="160" w:line="276"/>
      </w:pPr>
      <w:r>
        <w:rPr>
          <w:rFonts w:ascii="Arial" w:cs="Arial" w:eastAsia="Arial" w:hAnsi="Arial"/>
          <w:color w:val="1C2B3A"/>
          <w:sz w:val="20"/>
          <w:szCs w:val="20"/>
        </w:rPr>
        <w:t xml:space="preserve">The split exists because the two kinds of change are not alike. A wrong phone number is a wrong phone number. A changed flow URL stops the app working for everybody, on every laptop, at once.</w:t>
      </w: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w:t>
      </w: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from the button on the Settings screen, or by typing </w:t>
      </w:r>
      <w:r>
        <w:rPr>
          <w:rFonts w:ascii="Consolas" w:cs="Consolas" w:eastAsia="Consolas" w:hAnsi="Consolas"/>
          <w:color w:val="2A4258"/>
          <w:sz w:val="18"/>
          <w:szCs w:val="18"/>
          <w:shd w:fill="F2F0EA" w:val="clear"/>
        </w:rPr>
        <w:t xml:space="preserve">#/settings/admin</w:t>
      </w:r>
      <w:r>
        <w:rPr>
          <w:rFonts w:ascii="Arial" w:cs="Arial" w:eastAsia="Arial" w:hAnsi="Arial"/>
          <w:color w:val="1C2B3A"/>
          <w:sz w:val="20"/>
          <w:szCs w:val="20"/>
        </w:rPr>
        <w:t xml:space="preserve"> — shows a password card instead of the flows. Settings itself stays open: the office register is not behind this.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2026-10-19T03:08:27.808Z</dcterms:created>
  <dcterms:modified xsi:type="dcterms:W3CDTF">2026-10-19T03:08:27.808Z</dcterms:modified>
</cp:coreProperties>
</file>

<file path=docProps/custom.xml><?xml version="1.0" encoding="utf-8"?>
<Properties xmlns="http://schemas.openxmlformats.org/officeDocument/2006/custom-properties" xmlns:vt="http://schemas.openxmlformats.org/officeDocument/2006/docPropsVTypes"/>
</file>